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4645"/>
      </w:tblGrid>
      <w:tr w:rsidR="00B63404" w:rsidRPr="00182A45" w14:paraId="46905CD4" w14:textId="77777777" w:rsidTr="00663089">
        <w:tc>
          <w:tcPr>
            <w:tcW w:w="4644" w:type="dxa"/>
          </w:tcPr>
          <w:p w14:paraId="7779E49C" w14:textId="055A51DC" w:rsidR="00B63404" w:rsidRPr="00182A45" w:rsidRDefault="00BD72D6" w:rsidP="005460A6">
            <w:pPr>
              <w:tabs>
                <w:tab w:val="left" w:pos="974"/>
              </w:tabs>
              <w:jc w:val="left"/>
            </w:pPr>
            <w:r w:rsidRPr="00182A45">
              <w:rPr>
                <w:rFonts w:eastAsia="Arial Unicode MS"/>
                <w:lang w:eastAsia="en-GB" w:bidi="ar-SA"/>
              </w:rPr>
              <w:drawing>
                <wp:inline distT="0" distB="0" distL="0" distR="0" wp14:anchorId="71857AFD" wp14:editId="73A112C7">
                  <wp:extent cx="1799590" cy="1555750"/>
                  <wp:effectExtent l="0" t="0" r="0" b="6350"/>
                  <wp:docPr id="1" name="Picture 1" title="CoRLogo_P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55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F659A" w:rsidRPr="00182A45">
              <w:rPr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 wp14:anchorId="0BB68985" wp14:editId="7503183F">
                      <wp:simplePos x="0" y="0"/>
                      <wp:positionH relativeFrom="page">
                        <wp:posOffset>6767830</wp:posOffset>
                      </wp:positionH>
                      <wp:positionV relativeFrom="page">
                        <wp:posOffset>10079990</wp:posOffset>
                      </wp:positionV>
                      <wp:extent cx="647700" cy="396240"/>
                      <wp:effectExtent l="0" t="0" r="0" b="3810"/>
                      <wp:wrapNone/>
                      <wp:docPr id="2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3A0267" w14:textId="77777777" w:rsidR="00663089" w:rsidRPr="002D7181" w:rsidRDefault="0066308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48"/>
                                    </w:rPr>
                                    <w:t>PL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532.9pt;margin-top:793.7pt;width:51pt;height:3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7DAtwIAALo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" o:allowincell="f" filled="f" stroked="f">
                      <v:textbox>
                        <w:txbxContent>
                          <w:p w14:paraId="733A0267" w14:textId="77777777" w:rsidR="00663089" w:rsidRPr="002D7181" w:rsidRDefault="006630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PL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4645" w:type="dxa"/>
          </w:tcPr>
          <w:p w14:paraId="1A443ACC" w14:textId="77777777" w:rsidR="00B63404" w:rsidRPr="00182A45" w:rsidRDefault="00B63404" w:rsidP="00434E66">
            <w:pPr>
              <w:jc w:val="center"/>
            </w:pPr>
          </w:p>
        </w:tc>
      </w:tr>
      <w:tr w:rsidR="00076622" w:rsidRPr="00182A45" w14:paraId="3BFE03FF" w14:textId="77777777" w:rsidTr="0066308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289" w:type="dxa"/>
            <w:gridSpan w:val="2"/>
          </w:tcPr>
          <w:p w14:paraId="2B461E1D" w14:textId="77777777" w:rsidR="00076622" w:rsidRPr="00182A45" w:rsidRDefault="006D5753" w:rsidP="00434E66">
            <w:pPr>
              <w:jc w:val="right"/>
              <w:rPr>
                <w:b/>
                <w:sz w:val="28"/>
              </w:rPr>
            </w:pPr>
            <w:r w:rsidRPr="00182A45">
              <w:rPr>
                <w:b/>
                <w:sz w:val="28"/>
              </w:rPr>
              <w:t>SEDEC-VI-022</w:t>
            </w:r>
          </w:p>
        </w:tc>
      </w:tr>
      <w:tr w:rsidR="00076622" w:rsidRPr="00182A45" w14:paraId="6D240DFC" w14:textId="77777777" w:rsidTr="0066308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289" w:type="dxa"/>
            <w:gridSpan w:val="2"/>
          </w:tcPr>
          <w:p w14:paraId="1AEC0FBA" w14:textId="6EB1565B" w:rsidR="00076622" w:rsidRPr="00182A45" w:rsidRDefault="00FF132A" w:rsidP="00FF132A">
            <w:pPr>
              <w:jc w:val="center"/>
              <w:rPr>
                <w:b/>
                <w:sz w:val="28"/>
                <w:szCs w:val="28"/>
              </w:rPr>
            </w:pPr>
            <w:r w:rsidRPr="00182A45">
              <w:rPr>
                <w:b/>
                <w:sz w:val="28"/>
              </w:rPr>
              <w:t>123. sesja plenarna w dniach 11 i 12 maja 2017 r.</w:t>
            </w:r>
          </w:p>
        </w:tc>
      </w:tr>
    </w:tbl>
    <w:p w14:paraId="07B000B6" w14:textId="4667F07F" w:rsidR="00076622" w:rsidRPr="00182A45" w:rsidRDefault="00076622" w:rsidP="00434E66"/>
    <w:p w14:paraId="1ED60E16" w14:textId="4671BB5F" w:rsidR="00FF659A" w:rsidRPr="00182A45" w:rsidRDefault="00FF659A" w:rsidP="00434E66">
      <w:pPr>
        <w:jc w:val="center"/>
        <w:rPr>
          <w:b/>
          <w:sz w:val="28"/>
        </w:rPr>
      </w:pPr>
      <w:r w:rsidRPr="00182A45">
        <w:rPr>
          <w:b/>
          <w:sz w:val="28"/>
        </w:rPr>
        <w:t>OPINIA</w:t>
      </w:r>
    </w:p>
    <w:p w14:paraId="34046D63" w14:textId="77777777" w:rsidR="00FF659A" w:rsidRPr="00182A45" w:rsidRDefault="00FF659A" w:rsidP="002D7181"/>
    <w:p w14:paraId="5F453F9B" w14:textId="5E8DBE38" w:rsidR="00076622" w:rsidRPr="00182A45" w:rsidRDefault="00076622" w:rsidP="008A0523">
      <w:pPr>
        <w:jc w:val="center"/>
      </w:pPr>
      <w:r w:rsidRPr="00182A45">
        <w:rPr>
          <w:b/>
          <w:sz w:val="28"/>
        </w:rPr>
        <w:t xml:space="preserve">Lokalny i regionalny wymiar biogospodarki oraz rola regionów i miast </w:t>
      </w:r>
    </w:p>
    <w:p w14:paraId="5CDABCD0" w14:textId="77777777" w:rsidR="00021D3A" w:rsidRPr="00182A45" w:rsidRDefault="00021D3A" w:rsidP="00021D3A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9"/>
      </w:tblGrid>
      <w:tr w:rsidR="00021D3A" w:rsidRPr="00182A45" w14:paraId="4D76CE2B" w14:textId="77777777" w:rsidTr="00F53A61">
        <w:tc>
          <w:tcPr>
            <w:tcW w:w="9289" w:type="dxa"/>
            <w:tcMar>
              <w:top w:w="108" w:type="dxa"/>
            </w:tcMar>
          </w:tcPr>
          <w:p w14:paraId="2B7CFCE6" w14:textId="77777777" w:rsidR="00021D3A" w:rsidRPr="00182A45" w:rsidRDefault="00021D3A" w:rsidP="005460A6">
            <w:pPr>
              <w:spacing w:line="276" w:lineRule="auto"/>
              <w:jc w:val="left"/>
            </w:pPr>
            <w:r w:rsidRPr="00182A45">
              <w:t>EUROPEJSKI KOMITET REGIONÓW</w:t>
            </w:r>
          </w:p>
          <w:p w14:paraId="44C0FAA0" w14:textId="77777777" w:rsidR="005460A6" w:rsidRPr="00182A45" w:rsidRDefault="005460A6" w:rsidP="005460A6">
            <w:pPr>
              <w:spacing w:line="276" w:lineRule="auto"/>
              <w:jc w:val="left"/>
            </w:pPr>
          </w:p>
          <w:p w14:paraId="5AA9D187" w14:textId="285A50D9" w:rsidR="00D95E39" w:rsidRPr="00182A45" w:rsidRDefault="00D95E39" w:rsidP="005460A6">
            <w:pPr>
              <w:pStyle w:val="ListParagraph"/>
              <w:numPr>
                <w:ilvl w:val="0"/>
                <w:numId w:val="78"/>
              </w:numPr>
              <w:overflowPunct w:val="0"/>
              <w:autoSpaceDE w:val="0"/>
              <w:autoSpaceDN w:val="0"/>
              <w:spacing w:line="276" w:lineRule="auto"/>
            </w:pPr>
            <w:r w:rsidRPr="00182A45">
              <w:t>Uważa, że rozszerzanie biogospodarki, zwłaszcza na obszarach wiejskich i odpowiednich obszarach leśnych UE, oferuje bardzo duży potencjał rozwoju w odniesieniu do wzrostu i</w:t>
            </w:r>
            <w:r w:rsidR="005460A6" w:rsidRPr="00182A45">
              <w:t> </w:t>
            </w:r>
            <w:r w:rsidRPr="00182A45">
              <w:t>zatrudnienia, i wskazuje, że potencjał ten można zrealizować wyłącznie pod warunkiem, że podmioty regionalne i lokalne będą na miejscu ściśle ze sobą współpracować i realizować wspólne cele.</w:t>
            </w:r>
          </w:p>
          <w:p w14:paraId="11353B76" w14:textId="77777777" w:rsidR="00020812" w:rsidRPr="00182A45" w:rsidRDefault="00020812" w:rsidP="005460A6">
            <w:pPr>
              <w:pStyle w:val="ListParagraph"/>
              <w:numPr>
                <w:ilvl w:val="0"/>
                <w:numId w:val="78"/>
              </w:numPr>
              <w:overflowPunct w:val="0"/>
              <w:autoSpaceDE w:val="0"/>
              <w:autoSpaceDN w:val="0"/>
              <w:spacing w:line="276" w:lineRule="auto"/>
            </w:pPr>
            <w:r w:rsidRPr="00182A45">
              <w:t>Proponuje przegląd już istniejących ram prawnych dotyczących rozwoju biogospodarki w świetle inicjatywy mającej na celu lepsze stanowienie prawa, by w ten sposób usunąć z przepisów UE ewentualne przeszkody w inwestycjach.</w:t>
            </w:r>
          </w:p>
          <w:p w14:paraId="5FD9E523" w14:textId="77777777" w:rsidR="00020812" w:rsidRPr="00182A45" w:rsidRDefault="00020812" w:rsidP="005460A6">
            <w:pPr>
              <w:pStyle w:val="ListParagraph"/>
              <w:numPr>
                <w:ilvl w:val="0"/>
                <w:numId w:val="78"/>
              </w:numPr>
              <w:overflowPunct w:val="0"/>
              <w:autoSpaceDE w:val="0"/>
              <w:autoSpaceDN w:val="0"/>
              <w:spacing w:line="276" w:lineRule="auto"/>
            </w:pPr>
            <w:r w:rsidRPr="00182A45">
              <w:t>Wskazuje, że regionalne warunki rozwoju biogospodarki są bardzo różnorodne, i wnosi, by Komisja przedstawiła propozycje w sprawie sposobu, w jaki podejścia regionalne mogą zostać na wczesnym etapie wprowadzone do planowania polityki dotyczącej możliwości wsparcia. Celem jest opracowanie procedur i takie ukształtowanie instrumentów wsparcia, by mogły one być skutecznie zastosowane w różnych warunkach regionalnych, pozwoliły stawić czoła wyzwaniom wynikającym z wyspiarskiego charakteru i oddalenia i były lepiej powiązane z krajowymi, regionalnymi i lokalnymi programami wsparcia.</w:t>
            </w:r>
          </w:p>
          <w:p w14:paraId="3FD81583" w14:textId="3F16561E" w:rsidR="00D95E39" w:rsidRPr="00182A45" w:rsidRDefault="00D95E39" w:rsidP="005460A6">
            <w:pPr>
              <w:pStyle w:val="ListParagraph"/>
              <w:numPr>
                <w:ilvl w:val="0"/>
                <w:numId w:val="78"/>
              </w:numPr>
              <w:overflowPunct w:val="0"/>
              <w:autoSpaceDE w:val="0"/>
              <w:autoSpaceDN w:val="0"/>
              <w:spacing w:line="276" w:lineRule="auto"/>
            </w:pPr>
            <w:r w:rsidRPr="00182A45">
              <w:t>Podkreśla, że niezbędne są dalsze inwestycje w tworzenie i rozbudowę gospodarki opartej na biomasie, i apeluje o łatwiejszy dostęp do różnych dostępnych instrumentów finansowych z</w:t>
            </w:r>
            <w:r w:rsidR="005460A6" w:rsidRPr="00182A45">
              <w:t> </w:t>
            </w:r>
            <w:r w:rsidRPr="00182A45">
              <w:t>wykorzystaniem komplementarności i synergii. Zwraca się o stworzenie nowych i lepszych możliwości łączenia programów wsparcia UE (promowanie innowacji i inwestycji, gwarancje), by zmniejszyć ryzyko dla inwestorów prywatnych oraz pomóc MŚP we wprowadzaniu bioproduktów na rynek.</w:t>
            </w:r>
          </w:p>
          <w:p w14:paraId="7DD7C0F2" w14:textId="3498F64E" w:rsidR="00020812" w:rsidRPr="00182A45" w:rsidRDefault="00020812" w:rsidP="005460A6">
            <w:pPr>
              <w:pStyle w:val="ListParagraph"/>
              <w:numPr>
                <w:ilvl w:val="0"/>
                <w:numId w:val="78"/>
              </w:numPr>
              <w:overflowPunct w:val="0"/>
              <w:autoSpaceDE w:val="0"/>
              <w:autoSpaceDN w:val="0"/>
              <w:spacing w:line="276" w:lineRule="auto"/>
            </w:pPr>
            <w:r w:rsidRPr="00182A45">
              <w:t>Stwierdza, że możliwie największy udział bioproduktów w jak największej liczbie branż pozwala również stworzyć i utrzymać miejsca pracy na nowych, zrównoważonych rynkach, zwłaszcza w</w:t>
            </w:r>
            <w:r w:rsidR="005460A6" w:rsidRPr="00182A45">
              <w:t> </w:t>
            </w:r>
            <w:r w:rsidRPr="00182A45">
              <w:t>słabo dotychczas uprzemysłowionych regionach znajdujących się w niekorzystnym położeniu oraz w regionach wiejskich, górskich i przybrzeżnych. Nadaje to biogospodarce wymiar społeczny.</w:t>
            </w:r>
          </w:p>
          <w:p w14:paraId="554EDCBB" w14:textId="7DD87219" w:rsidR="00021D3A" w:rsidRPr="00182A45" w:rsidRDefault="00D95E39" w:rsidP="005460A6">
            <w:pPr>
              <w:pStyle w:val="ListParagraph"/>
              <w:numPr>
                <w:ilvl w:val="0"/>
                <w:numId w:val="78"/>
              </w:numPr>
              <w:overflowPunct w:val="0"/>
              <w:autoSpaceDE w:val="0"/>
              <w:autoSpaceDN w:val="0"/>
              <w:spacing w:line="276" w:lineRule="auto"/>
            </w:pPr>
            <w:r w:rsidRPr="00182A45">
              <w:t>Jest przekonany, że biogospodarka oparta na wiedzy i w pełni przyjazna dla środowiska może mieć duże znaczenie dla zrównoważonego rozwoju w Europie.</w:t>
            </w:r>
          </w:p>
        </w:tc>
      </w:tr>
    </w:tbl>
    <w:p w14:paraId="5647B770" w14:textId="1C821E57" w:rsidR="00021D3A" w:rsidRPr="00182A45" w:rsidRDefault="00DF1830" w:rsidP="00021D3A">
      <w:pPr>
        <w:rPr>
          <w:sz w:val="6"/>
        </w:rPr>
      </w:pPr>
      <w:r w:rsidRPr="00182A45">
        <w:rPr>
          <w:b/>
          <w:bCs/>
          <w:sz w:val="32"/>
          <w:lang w:eastAsia="en-GB" w:bidi="ar-SA"/>
        </w:rPr>
        <w:drawing>
          <wp:anchor distT="0" distB="0" distL="114300" distR="114300" simplePos="0" relativeHeight="251660288" behindDoc="0" locked="0" layoutInCell="0" allowOverlap="0" wp14:anchorId="32D48ADB" wp14:editId="46D2C027">
            <wp:simplePos x="0" y="0"/>
            <wp:positionH relativeFrom="page">
              <wp:posOffset>901700</wp:posOffset>
            </wp:positionH>
            <wp:positionV relativeFrom="page">
              <wp:posOffset>10256520</wp:posOffset>
            </wp:positionV>
            <wp:extent cx="5759450" cy="266065"/>
            <wp:effectExtent l="0" t="0" r="0" b="635"/>
            <wp:wrapNone/>
            <wp:docPr id="6" name="Picture 6" descr="C:\Users\mreg\Music\_New CoR logo\New LOGO CoR\Address\CoR letterhead top banner - address FR-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reg\Music\_New CoR logo\New LOGO CoR\Address\CoR letterhead top banner - address FR-N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79483" w14:textId="77777777" w:rsidR="005400A3" w:rsidRPr="00182A45" w:rsidRDefault="005400A3" w:rsidP="00434E66">
      <w:pPr>
        <w:sectPr w:rsidR="005400A3" w:rsidRPr="00182A45" w:rsidSect="0003379D">
          <w:footerReference w:type="default" r:id="rId15"/>
          <w:pgSz w:w="11907" w:h="16839" w:code="9"/>
          <w:pgMar w:top="1417" w:right="1417" w:bottom="1417" w:left="1417" w:header="709" w:footer="709" w:gutter="0"/>
          <w:pgNumType w:start="1"/>
          <w:cols w:space="720"/>
          <w:docGrid w:linePitch="299"/>
        </w:sect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89"/>
      </w:tblGrid>
      <w:tr w:rsidR="00076622" w:rsidRPr="00182A45" w14:paraId="411C5DE6" w14:textId="77777777" w:rsidTr="00663089">
        <w:trPr>
          <w:trHeight w:val="12474"/>
        </w:trPr>
        <w:tc>
          <w:tcPr>
            <w:tcW w:w="9289" w:type="dxa"/>
            <w:vAlign w:val="bottom"/>
          </w:tcPr>
          <w:p w14:paraId="6117CDEC" w14:textId="55CDB824" w:rsidR="008108CF" w:rsidRPr="00182A45" w:rsidRDefault="008108CF" w:rsidP="008108CF">
            <w:pPr>
              <w:rPr>
                <w:u w:val="single"/>
              </w:rPr>
            </w:pPr>
            <w:bookmarkStart w:id="0" w:name="_GoBack"/>
            <w:bookmarkEnd w:id="0"/>
            <w:r w:rsidRPr="00182A45">
              <w:rPr>
                <w:u w:val="single"/>
              </w:rPr>
              <w:lastRenderedPageBreak/>
              <w:t>Sprawozdawczyni</w:t>
            </w:r>
          </w:p>
          <w:p w14:paraId="6943D1FD" w14:textId="77777777" w:rsidR="008108CF" w:rsidRPr="00182A45" w:rsidRDefault="008108CF" w:rsidP="008108CF">
            <w:pPr>
              <w:rPr>
                <w:u w:val="single"/>
              </w:rPr>
            </w:pPr>
          </w:p>
          <w:p w14:paraId="69DBCF65" w14:textId="1C0009A8" w:rsidR="008108CF" w:rsidRPr="00182A45" w:rsidRDefault="008108CF" w:rsidP="008108CF">
            <w:r w:rsidRPr="00182A45">
              <w:t>Katrin BUDDE (DE/PES), posłanka do parlamentu kraju związkowego Saksonia-Anhalt</w:t>
            </w:r>
          </w:p>
          <w:p w14:paraId="2518BD21" w14:textId="77777777" w:rsidR="00DF1830" w:rsidRPr="00182A45" w:rsidRDefault="00DF1830"/>
        </w:tc>
      </w:tr>
    </w:tbl>
    <w:p w14:paraId="784B2242" w14:textId="77777777" w:rsidR="00076622" w:rsidRPr="00182A45" w:rsidRDefault="00076622" w:rsidP="00434E66"/>
    <w:p w14:paraId="756E38C8" w14:textId="3F2DF7DE" w:rsidR="00076622" w:rsidRPr="00182A45" w:rsidRDefault="00076622" w:rsidP="009342A0">
      <w:pPr>
        <w:jc w:val="center"/>
        <w:rPr>
          <w:b/>
        </w:rPr>
      </w:pPr>
      <w:r w:rsidRPr="00182A45">
        <w:br w:type="page"/>
      </w:r>
      <w:r w:rsidRPr="00182A45">
        <w:rPr>
          <w:b/>
        </w:rPr>
        <w:lastRenderedPageBreak/>
        <w:t>Opinia Europejskiego Komitetu Regionów – Lokalny i regionalny wymiar biogospodarki oraz rola regionów i miast</w:t>
      </w:r>
    </w:p>
    <w:p w14:paraId="208545C5" w14:textId="77777777" w:rsidR="00606B5A" w:rsidRPr="00182A45" w:rsidRDefault="00606B5A" w:rsidP="009342A0"/>
    <w:p w14:paraId="33D26CCF" w14:textId="41D977E2" w:rsidR="00606B5A" w:rsidRPr="00182A45" w:rsidRDefault="00606B5A" w:rsidP="00434E66">
      <w:pPr>
        <w:keepNext/>
        <w:numPr>
          <w:ilvl w:val="0"/>
          <w:numId w:val="22"/>
        </w:numPr>
        <w:ind w:left="567" w:hanging="567"/>
        <w:rPr>
          <w:b/>
          <w:bCs/>
        </w:rPr>
      </w:pPr>
      <w:r w:rsidRPr="00182A45">
        <w:rPr>
          <w:b/>
        </w:rPr>
        <w:t>ZALECENIA POLITYCZNE</w:t>
      </w:r>
    </w:p>
    <w:p w14:paraId="2AA51DAA" w14:textId="77777777" w:rsidR="00606B5A" w:rsidRPr="00182A45" w:rsidRDefault="00606B5A" w:rsidP="00434E66">
      <w:pPr>
        <w:keepNext/>
      </w:pPr>
    </w:p>
    <w:p w14:paraId="1B6FBBC8" w14:textId="77777777" w:rsidR="00606B5A" w:rsidRPr="00182A45" w:rsidRDefault="00606B5A" w:rsidP="00434E66">
      <w:pPr>
        <w:keepNext/>
      </w:pPr>
      <w:r w:rsidRPr="00182A45">
        <w:t>EUROPEJSKI KOMITET REGIONÓW</w:t>
      </w:r>
    </w:p>
    <w:p w14:paraId="2883A3E6" w14:textId="77777777" w:rsidR="00606B5A" w:rsidRPr="00182A45" w:rsidRDefault="00606B5A" w:rsidP="00434E66">
      <w:pPr>
        <w:keepNext/>
      </w:pPr>
    </w:p>
    <w:p w14:paraId="74821DAB" w14:textId="1E5F0EC6" w:rsidR="00B1311A" w:rsidRPr="00182A45" w:rsidRDefault="00B1311A" w:rsidP="00434E66">
      <w:pPr>
        <w:keepNext/>
      </w:pPr>
      <w:r w:rsidRPr="00182A45">
        <w:t>Główne przesłania</w:t>
      </w:r>
    </w:p>
    <w:p w14:paraId="6ED5C25C" w14:textId="77777777" w:rsidR="00D77B74" w:rsidRPr="00182A45" w:rsidRDefault="00D77B74" w:rsidP="00434E66">
      <w:pPr>
        <w:keepNext/>
      </w:pPr>
    </w:p>
    <w:p w14:paraId="1D3DD9C7" w14:textId="46EC64AA" w:rsidR="009F6DDE" w:rsidRPr="00182A45" w:rsidRDefault="009F6DDE" w:rsidP="00C27A8C">
      <w:pPr>
        <w:pStyle w:val="Heading1"/>
        <w:rPr>
          <w:rFonts w:eastAsia="Calibri"/>
        </w:rPr>
      </w:pPr>
      <w:r w:rsidRPr="00182A45">
        <w:t>Z zadowoleniem przyjmuje dotychczasowe starania Komisji Europejskiej, państw członkowskich i regionów, by na szczeblu regionalnym promować biogospodarkę za pomocą zrównoważonego gospodarowania zasobami naturalnymi, w tym ziemią oraz wodami śródlądowymi i morskimi, i opowiada się za tym, by starania te bardziej rozwinąć.</w:t>
      </w:r>
    </w:p>
    <w:p w14:paraId="1B15F803" w14:textId="77777777" w:rsidR="00B326BB" w:rsidRPr="00182A45" w:rsidRDefault="00B326BB" w:rsidP="0003379D">
      <w:pPr>
        <w:rPr>
          <w:rFonts w:eastAsia="Calibri"/>
        </w:rPr>
      </w:pPr>
    </w:p>
    <w:p w14:paraId="53F311A1" w14:textId="4C06F578" w:rsidR="00640218" w:rsidRPr="00182A45" w:rsidRDefault="00640218" w:rsidP="00C27A8C">
      <w:pPr>
        <w:pStyle w:val="Heading1"/>
      </w:pPr>
      <w:r w:rsidRPr="00182A45">
        <w:t>Uważa, że rozszerzanie biogospodarki, zwłaszcza na obszarach wiejskich i odpowiednich obszarach leśnych UE, oferuje bardzo duży potencjał rozwoju w odniesieniu do wzrostu i</w:t>
      </w:r>
      <w:r w:rsidR="00941B1F" w:rsidRPr="00182A45">
        <w:t> </w:t>
      </w:r>
      <w:r w:rsidRPr="00182A45">
        <w:t>zatrudnienia i wskazuje, że potencjał ten można zrealizować wyłącznie pod warunkiem, że podmioty regionalne i lokalne będą na miejscu ściśle ze sobą współpracować i realizować wspólne cele.</w:t>
      </w:r>
    </w:p>
    <w:p w14:paraId="4AF9D9D4" w14:textId="77777777" w:rsidR="00D77B74" w:rsidRPr="00182A45" w:rsidRDefault="00D77B74" w:rsidP="00070CD5">
      <w:pPr>
        <w:rPr>
          <w:rFonts w:eastAsia="Calibri"/>
        </w:rPr>
      </w:pPr>
    </w:p>
    <w:p w14:paraId="11E18797" w14:textId="2B8AAC5D" w:rsidR="00636454" w:rsidRPr="00182A45" w:rsidRDefault="00636454" w:rsidP="00636454">
      <w:pPr>
        <w:pStyle w:val="Heading1"/>
      </w:pPr>
      <w:r w:rsidRPr="00182A45">
        <w:t>Proponuje w związku z tym, by w przyszłej aktualizacji strategii dotyczącej biogospodarki i</w:t>
      </w:r>
      <w:r w:rsidR="00941B1F" w:rsidRPr="00182A45">
        <w:t> </w:t>
      </w:r>
      <w:r w:rsidRPr="00182A45">
        <w:t>planu działania położyć nacisk na wykorzystanie potencjału biogospodarki, w tym biotechnologii i biomasy, i płynących z nich korzyści dla rozwoju lokalnego i regionalnego zarówno na obszarach miejskich, jak i wiejskich.</w:t>
      </w:r>
    </w:p>
    <w:p w14:paraId="1C430262" w14:textId="77777777" w:rsidR="00636454" w:rsidRPr="00182A45" w:rsidRDefault="00636454" w:rsidP="0003379D">
      <w:pPr>
        <w:rPr>
          <w:rFonts w:eastAsia="Calibri"/>
        </w:rPr>
      </w:pPr>
    </w:p>
    <w:p w14:paraId="7FDEA0A2" w14:textId="0713228C" w:rsidR="00B12C9D" w:rsidRPr="00182A45" w:rsidRDefault="000C0FAC" w:rsidP="00C27A8C">
      <w:pPr>
        <w:pStyle w:val="Heading1"/>
        <w:rPr>
          <w:rFonts w:eastAsia="Calibri"/>
        </w:rPr>
      </w:pPr>
      <w:r w:rsidRPr="00182A45">
        <w:t>Jest przekonany, że stworzenie możliwie najlepszych warunków do rozwoju biogospodarki w</w:t>
      </w:r>
      <w:r w:rsidR="00941B1F" w:rsidRPr="00182A45">
        <w:t> </w:t>
      </w:r>
      <w:r w:rsidRPr="00182A45">
        <w:t>Europie wymaga większej synergii między europejskimi, krajowymi, regionalnymi i</w:t>
      </w:r>
      <w:r w:rsidR="00941B1F" w:rsidRPr="00182A45">
        <w:t> </w:t>
      </w:r>
      <w:r w:rsidRPr="00182A45">
        <w:t xml:space="preserve">lokalnymi inicjatywami w zakresie biogospodarki zgodnie z wielopoziomowym modelem sprawowania rządów. </w:t>
      </w:r>
    </w:p>
    <w:p w14:paraId="1AC56D33" w14:textId="77777777" w:rsidR="0073449E" w:rsidRPr="00182A45" w:rsidRDefault="0073449E" w:rsidP="0003379D">
      <w:pPr>
        <w:rPr>
          <w:rFonts w:eastAsia="Calibri"/>
        </w:rPr>
      </w:pPr>
    </w:p>
    <w:p w14:paraId="22FB0B3B" w14:textId="77777777" w:rsidR="000C0FAC" w:rsidRPr="00182A45" w:rsidRDefault="00B12C9D" w:rsidP="00C27A8C">
      <w:pPr>
        <w:pStyle w:val="Heading1"/>
        <w:rPr>
          <w:rFonts w:eastAsia="Calibri"/>
        </w:rPr>
      </w:pPr>
      <w:r w:rsidRPr="00182A45">
        <w:t>Domaga się przede wszystkim, by wykorzystano regionalne strategie inteligentnej specjalizacji ukierunkowane na biogospodarkę i zwrócono na nie uwagę na etapie przeglądu strategii biogospodarczej.</w:t>
      </w:r>
    </w:p>
    <w:p w14:paraId="13EA97C6" w14:textId="77777777" w:rsidR="0073449E" w:rsidRPr="00182A45" w:rsidRDefault="0073449E" w:rsidP="0003379D">
      <w:pPr>
        <w:rPr>
          <w:rFonts w:eastAsia="Calibri"/>
        </w:rPr>
      </w:pPr>
    </w:p>
    <w:p w14:paraId="29CD4965" w14:textId="2810A581" w:rsidR="000A60EB" w:rsidRPr="00182A45" w:rsidRDefault="000A60EB" w:rsidP="00C27A8C">
      <w:pPr>
        <w:pStyle w:val="Heading1"/>
        <w:rPr>
          <w:rFonts w:eastAsia="Calibri"/>
        </w:rPr>
      </w:pPr>
      <w:r w:rsidRPr="00182A45">
        <w:t>Proponuje przegląd już istniejących ram prawnych dotyczących rozwoju biogospodarki w</w:t>
      </w:r>
      <w:r w:rsidR="00941B1F" w:rsidRPr="00182A45">
        <w:t> </w:t>
      </w:r>
      <w:r w:rsidRPr="00182A45">
        <w:t>świetle inicjatywy mającej na celu lepsze stanowienie prawa, by w ten sposób usunąć z</w:t>
      </w:r>
      <w:r w:rsidR="00941B1F" w:rsidRPr="00182A45">
        <w:t> </w:t>
      </w:r>
      <w:r w:rsidRPr="00182A45">
        <w:t>przepisów UE ewentualne przeszkody w inwestycjach.</w:t>
      </w:r>
    </w:p>
    <w:p w14:paraId="1B9AA2B0" w14:textId="77777777" w:rsidR="00091698" w:rsidRPr="00182A45" w:rsidRDefault="00091698" w:rsidP="0003379D">
      <w:pPr>
        <w:rPr>
          <w:rFonts w:eastAsia="Calibri"/>
        </w:rPr>
      </w:pPr>
    </w:p>
    <w:p w14:paraId="6EB0EAA9" w14:textId="18B978DA" w:rsidR="0038155B" w:rsidRPr="00182A45" w:rsidRDefault="00631BE5" w:rsidP="00C27A8C">
      <w:pPr>
        <w:pStyle w:val="Heading1"/>
        <w:rPr>
          <w:rFonts w:eastAsia="Calibri"/>
        </w:rPr>
      </w:pPr>
      <w:r w:rsidRPr="00182A45">
        <w:t>Opowiada się za aktywnymi strategiami komunikacyjnymi Komisji, państw członkowskich i</w:t>
      </w:r>
      <w:r w:rsidR="00941B1F" w:rsidRPr="00182A45">
        <w:t> </w:t>
      </w:r>
      <w:r w:rsidRPr="00182A45">
        <w:t>regionów europejskich, by podnieść świadomość na temat potencjału biogospodarki w</w:t>
      </w:r>
      <w:r w:rsidR="00941B1F" w:rsidRPr="00182A45">
        <w:t> </w:t>
      </w:r>
      <w:r w:rsidRPr="00182A45">
        <w:t>regionach. W związku z tym proponuje, by wykorzystano pojęcie bioregionu i biogminy w</w:t>
      </w:r>
      <w:r w:rsidR="00941B1F" w:rsidRPr="00182A45">
        <w:t> </w:t>
      </w:r>
      <w:r w:rsidRPr="00182A45">
        <w:t>celu opisania obszarów wiejskich, miast i regionów, które kładą szczególny nacisk na rozwój biogospodarki.</w:t>
      </w:r>
    </w:p>
    <w:p w14:paraId="61624AFA" w14:textId="77777777" w:rsidR="00091698" w:rsidRPr="00182A45" w:rsidRDefault="00091698" w:rsidP="0003379D">
      <w:pPr>
        <w:rPr>
          <w:rFonts w:eastAsia="Calibri"/>
        </w:rPr>
      </w:pPr>
    </w:p>
    <w:p w14:paraId="42091767" w14:textId="33F3CFFB" w:rsidR="009F6DDE" w:rsidRPr="00182A45" w:rsidRDefault="009F6DDE" w:rsidP="00941B1F">
      <w:pPr>
        <w:pStyle w:val="Heading1"/>
        <w:keepNext/>
        <w:keepLines/>
        <w:rPr>
          <w:rFonts w:eastAsia="Calibri"/>
        </w:rPr>
      </w:pPr>
      <w:r w:rsidRPr="00182A45">
        <w:lastRenderedPageBreak/>
        <w:t>Zaleca, by inicjatywy zmierzające do promowania biogospodarki powiązano ściśle z rozwojem zrównoważonej gospodarki o obiegu zamkniętym na szczeblu lokalnym i regionalnym, i</w:t>
      </w:r>
      <w:r w:rsidR="00941B1F" w:rsidRPr="00182A45">
        <w:t> </w:t>
      </w:r>
      <w:r w:rsidRPr="00182A45">
        <w:t>opowiada się za tym, by wsparto bioregiony i biogminy, a także przedsiębiorstwa i</w:t>
      </w:r>
      <w:r w:rsidR="00941B1F" w:rsidRPr="00182A45">
        <w:t> </w:t>
      </w:r>
      <w:r w:rsidRPr="00182A45">
        <w:t>stowarzyszenia, które wykorzystują swe lokalne zasoby biologiczne w celu stworzenia nowych łańcuchów wartości, m.in. poprzez bezpośrednie finansowanie ich własnych regionalnych ośrodków badawczych aktywnych w różnych sektorach biogospodarki, w tym w sektorze rolno-spożywczym.</w:t>
      </w:r>
    </w:p>
    <w:p w14:paraId="0C00F7AF" w14:textId="77777777" w:rsidR="00091698" w:rsidRPr="00182A45" w:rsidRDefault="00091698" w:rsidP="0003379D">
      <w:pPr>
        <w:rPr>
          <w:rFonts w:eastAsia="Calibri"/>
        </w:rPr>
      </w:pPr>
    </w:p>
    <w:p w14:paraId="60905B4B" w14:textId="00127575" w:rsidR="00B35A57" w:rsidRPr="00182A45" w:rsidRDefault="00B35A57" w:rsidP="00C27A8C">
      <w:pPr>
        <w:pStyle w:val="Heading1"/>
        <w:rPr>
          <w:rFonts w:eastAsia="Calibri"/>
        </w:rPr>
      </w:pPr>
      <w:r w:rsidRPr="00182A45">
        <w:t>Zaleca zmianę polityki wsparcia UE i państw członkowskich w taki sposób, by priorytetem było sprostanie istniejącym problemom i wyzwaniom na szczeblu lokalnym i takie ukształtowanie warunków promowania biogospodarki przez UE, by móc wesprzeć rozwiązania dostosowane do różnych regionów, m.in. do szczególnych wyzwań, przed którymi stoją wyspy i regiony najbardziej oddalone.</w:t>
      </w:r>
    </w:p>
    <w:p w14:paraId="693EE740" w14:textId="77777777" w:rsidR="00091698" w:rsidRPr="00182A45" w:rsidRDefault="00091698" w:rsidP="0003379D">
      <w:pPr>
        <w:rPr>
          <w:rFonts w:eastAsia="Calibri"/>
        </w:rPr>
      </w:pPr>
    </w:p>
    <w:p w14:paraId="5022A744" w14:textId="271C9E34" w:rsidR="00795698" w:rsidRPr="00182A45" w:rsidRDefault="009F6DDE" w:rsidP="00C27A8C">
      <w:pPr>
        <w:pStyle w:val="Heading1"/>
      </w:pPr>
      <w:r w:rsidRPr="00182A45">
        <w:t>Podkreśla, że rozwój inwestycji w dziedzinie biogospodarki można osiągnąć wyłącznie wtedy, gdy ułatwiony zostanie dostęp do najważniejszych instrumentów finansowych UE, takich jak m.in. EFIS, europejskie fundusze strukturalne i inwestycyjne, „Horyzont 2020” oraz COSME.</w:t>
      </w:r>
    </w:p>
    <w:p w14:paraId="2DB0B5C3" w14:textId="77777777" w:rsidR="00091698" w:rsidRPr="00182A45" w:rsidRDefault="00091698" w:rsidP="002D7181"/>
    <w:p w14:paraId="796AD0EC" w14:textId="35A3B5F9" w:rsidR="000124FF" w:rsidRPr="00182A45" w:rsidRDefault="009F6DDE" w:rsidP="009342A0">
      <w:pPr>
        <w:pStyle w:val="Heading1"/>
      </w:pPr>
      <w:r w:rsidRPr="00182A45">
        <w:t>Zaleca, by umożliwiono nowe sposoby łączenia różnych programów wsparcia UE i tym samym odpowiedziano na wymogi zintegrowanej strategii rozwoju biogospodarki (promowanie BRI i</w:t>
      </w:r>
      <w:r w:rsidR="00941B1F" w:rsidRPr="00182A45">
        <w:t> </w:t>
      </w:r>
      <w:r w:rsidRPr="00182A45">
        <w:t>inwestycji, gwarancje).</w:t>
      </w:r>
    </w:p>
    <w:p w14:paraId="11DDDB35" w14:textId="77777777" w:rsidR="000124FF" w:rsidRPr="00182A45" w:rsidRDefault="000124FF" w:rsidP="00434E66"/>
    <w:p w14:paraId="072F4245" w14:textId="77777777" w:rsidR="0038155B" w:rsidRPr="00182A45" w:rsidRDefault="006250C5" w:rsidP="009342A0">
      <w:pPr>
        <w:pStyle w:val="Heading1"/>
      </w:pPr>
      <w:r w:rsidRPr="00182A45">
        <w:t>Opowiada się za tym, by ułatwić uwzględnianie interesów regionów we Wspólnym Przedsięwzięciu na rzecz Bioprzemysłu w celu zwiększenia spójności środków, optymalnego wykorzystania synergii i wymiany sprawdzonych rozwiązań z myślą o promowaniu inwestycji w biogospodarkę.</w:t>
      </w:r>
    </w:p>
    <w:p w14:paraId="4CEF770A" w14:textId="77777777" w:rsidR="00BD5B57" w:rsidRPr="00182A45" w:rsidRDefault="00BD5B57" w:rsidP="00434E66"/>
    <w:p w14:paraId="23F6787D" w14:textId="725EA3CC" w:rsidR="0038155B" w:rsidRPr="00182A45" w:rsidRDefault="0038155B" w:rsidP="009342A0">
      <w:pPr>
        <w:pStyle w:val="Heading1"/>
      </w:pPr>
      <w:r w:rsidRPr="00182A45">
        <w:t>Zwraca się do Europejskiego Banku Inwestycyjnego, by wykorzystano możliwości finansowania biogospodarki stworzone w ramach EFIS 2.0 i dążono aktywnie do kontaktu z</w:t>
      </w:r>
      <w:r w:rsidR="00941B1F" w:rsidRPr="00182A45">
        <w:t> </w:t>
      </w:r>
      <w:r w:rsidRPr="00182A45">
        <w:t>bioregionami i biogminami.</w:t>
      </w:r>
    </w:p>
    <w:p w14:paraId="56747B69" w14:textId="77777777" w:rsidR="00934F6C" w:rsidRPr="00182A45" w:rsidRDefault="00934F6C" w:rsidP="00434E66"/>
    <w:p w14:paraId="5E70FCF3" w14:textId="4F6E41D2" w:rsidR="00D46FE6" w:rsidRPr="00182A45" w:rsidRDefault="009F6DDE" w:rsidP="009342A0">
      <w:pPr>
        <w:pStyle w:val="Heading1"/>
      </w:pPr>
      <w:r w:rsidRPr="00182A45">
        <w:t>Opowiada się za tym, by za pomocą programu „Horyzont 2020”, INTERREG i innych programów nadal wspierano promowanie współpracy międzyregionalnej i uczenia się opartego na analizie porównawczej między bioregionami i biogminami. W związku z tym proponuje, by z myślą o współpracy bioregionów i biogmin wykorzystano również instrument prawny, jakim jest europejskie ugrupowanie współpracy terytorialnej (EUWT).</w:t>
      </w:r>
    </w:p>
    <w:p w14:paraId="4059E430" w14:textId="77777777" w:rsidR="00091698" w:rsidRPr="00182A45" w:rsidRDefault="00091698" w:rsidP="00434E66"/>
    <w:p w14:paraId="6357A378" w14:textId="34E8A77C" w:rsidR="00690B20" w:rsidRPr="00182A45" w:rsidRDefault="00690B20" w:rsidP="009342A0">
      <w:pPr>
        <w:pStyle w:val="Heading1"/>
      </w:pPr>
      <w:r w:rsidRPr="00182A45">
        <w:t>Apeluje do Komisji Europejskiej, by już odpowiednio wcześnie przed rozpoczęciem następnego okresu programowania podjęła działania mające na celu wsparcie skoordynowanego wykorzystania środków UE w dziedzinie polityki rolnej, w tym w sektorze rolno-spożywczym i</w:t>
      </w:r>
      <w:r w:rsidR="00941B1F" w:rsidRPr="00182A45">
        <w:t> </w:t>
      </w:r>
      <w:r w:rsidRPr="00182A45">
        <w:t>leśnym, oraz w dziedzinie polityki spójności za pomocą odpowiednich rozwiązań i</w:t>
      </w:r>
      <w:r w:rsidR="00941B1F" w:rsidRPr="00182A45">
        <w:t> </w:t>
      </w:r>
      <w:r w:rsidRPr="00182A45">
        <w:t>dostosowań merytorycznych dotyczących programów operacyjnych bioregionów w Europie.</w:t>
      </w:r>
    </w:p>
    <w:p w14:paraId="5F759C13" w14:textId="77777777" w:rsidR="00091698" w:rsidRPr="00182A45" w:rsidRDefault="00091698" w:rsidP="00434E66"/>
    <w:p w14:paraId="5DC939CF" w14:textId="42C7DB5A" w:rsidR="00DD443D" w:rsidRPr="00182A45" w:rsidRDefault="00DD443D" w:rsidP="001E0492">
      <w:pPr>
        <w:pStyle w:val="Heading1"/>
        <w:keepNext/>
        <w:keepLines/>
      </w:pPr>
      <w:r w:rsidRPr="00182A45">
        <w:t>Zaleca, by sporządzono propozycje dotyczące wprowadzenia na czas ograniczony odpowiednich systemów zachęt ukierunkowanych na popyt na bioprodukty, by zrekompensować początkowo wyższe koszty wprowadzania do obrotu. Apeluje w tym kontekście do państw członkowskich i regionów UE, by preferowały materiały pochodzenia biologicznego w ramach zamówień publicznych.</w:t>
      </w:r>
    </w:p>
    <w:p w14:paraId="75260F4C" w14:textId="77777777" w:rsidR="00091698" w:rsidRPr="00182A45" w:rsidRDefault="00091698" w:rsidP="00434E66"/>
    <w:p w14:paraId="360B76BA" w14:textId="030FB73E" w:rsidR="00DD443D" w:rsidRPr="00182A45" w:rsidRDefault="009F6DDE" w:rsidP="001E0492">
      <w:pPr>
        <w:pStyle w:val="Heading1"/>
        <w:keepNext/>
        <w:keepLines/>
      </w:pPr>
      <w:r w:rsidRPr="00182A45">
        <w:t>Jest przekonany, że można lepiej wykorzystać olbrzymi potencjał europejskich regionów w</w:t>
      </w:r>
      <w:r w:rsidR="00941B1F" w:rsidRPr="00182A45">
        <w:t> </w:t>
      </w:r>
      <w:r w:rsidRPr="00182A45">
        <w:t>dziedzinie biogospodarki, nadając miastom, regionom i ich organizacjom międzyregionalnym większą rolę w panelu zainteresowanych stron ds. biogospodarki, i zaleca zatem, by raz w roku w różnych europejskich bioregionach i biogminach organizowano europejskie forum bioregionów, biowspólnot miejskich i biogmin, w którym braliby również udział przedstawiciele państw członkowskich, Europejskiego Komitetu Regionów i Parlamentu Europejskiego.</w:t>
      </w:r>
    </w:p>
    <w:p w14:paraId="011968F9" w14:textId="77777777" w:rsidR="00BF37E2" w:rsidRPr="00182A45" w:rsidRDefault="00BF37E2" w:rsidP="001E0492">
      <w:pPr>
        <w:keepNext/>
        <w:keepLines/>
        <w:ind w:left="567" w:hanging="567"/>
        <w:outlineLvl w:val="0"/>
      </w:pPr>
    </w:p>
    <w:p w14:paraId="1E7C3D3E" w14:textId="772B15EE" w:rsidR="0069503A" w:rsidRPr="00182A45" w:rsidRDefault="00295D17" w:rsidP="001E0492">
      <w:pPr>
        <w:pStyle w:val="Heading1"/>
        <w:keepNext/>
        <w:keepLines/>
      </w:pPr>
      <w:r w:rsidRPr="00182A45">
        <w:t>Podkreśla, że rozwój biogospodarki wymaga dostosowania systemu kształcenia w państwach członkowskich i że oferty szkoleniowe, ustawiczne szkolenia zawodowe, kwalifikacje zawodowe i programy studiów wyższych mogłyby również umożliwić obywatelom reagowanie na zmienione wymagania dotyczące umiejętności. Proponuje, by wymogi te uwzględniono również w europejskim planie działania dotyczącym kształcenia.</w:t>
      </w:r>
    </w:p>
    <w:p w14:paraId="41773BBF" w14:textId="77777777" w:rsidR="00091698" w:rsidRPr="00182A45" w:rsidRDefault="00091698" w:rsidP="001E0492">
      <w:pPr>
        <w:keepNext/>
        <w:keepLines/>
        <w:ind w:left="567" w:hanging="567"/>
        <w:outlineLvl w:val="0"/>
      </w:pPr>
    </w:p>
    <w:p w14:paraId="5A5EEFE0" w14:textId="00A84AB2" w:rsidR="00295D17" w:rsidRPr="00182A45" w:rsidRDefault="0069503A" w:rsidP="001E0492">
      <w:pPr>
        <w:pStyle w:val="Heading1"/>
        <w:keepNext/>
        <w:keepLines/>
      </w:pPr>
      <w:r w:rsidRPr="00182A45">
        <w:t>Przypomina, że biogospodarka jest również szansą dla sektora zdrowia, gdyż dzięki zaawansowanym technologiom i badaniom jest obecnie możliwe opracowanie innowacyjnych produktów leczniczych, opartych na złożonych naturalnych substancjach, które dają obiecujące wyniki, a ponadto są korzystne dla ekosystemu. Produkcja wysokiej jakości żywności i</w:t>
      </w:r>
      <w:r w:rsidR="001E0492" w:rsidRPr="00182A45">
        <w:t> </w:t>
      </w:r>
      <w:r w:rsidRPr="00182A45">
        <w:t>żywności funkcjonalnej również przyczynia się do poprawy zdrowia ludności.</w:t>
      </w:r>
    </w:p>
    <w:p w14:paraId="6373969E" w14:textId="77777777" w:rsidR="0069503A" w:rsidRPr="00182A45" w:rsidRDefault="0069503A" w:rsidP="001E0492">
      <w:pPr>
        <w:keepNext/>
        <w:keepLines/>
        <w:ind w:left="567" w:hanging="567"/>
        <w:outlineLvl w:val="0"/>
      </w:pPr>
    </w:p>
    <w:p w14:paraId="07255A3E" w14:textId="479285B4" w:rsidR="00640218" w:rsidRPr="00182A45" w:rsidRDefault="00AC642F" w:rsidP="001E0492">
      <w:pPr>
        <w:pStyle w:val="Heading1"/>
        <w:keepNext/>
        <w:keepLines/>
      </w:pPr>
      <w:r w:rsidRPr="00182A45">
        <w:t>Proponuje, by wyraźniej niż do tej pory uwzględniono rozwój biogospodarki w następnym programie ramowym w zakresie badań, a także podczas określania wspólnej polityki rolnej i</w:t>
      </w:r>
      <w:r w:rsidR="001E0492" w:rsidRPr="00182A45">
        <w:t> </w:t>
      </w:r>
      <w:r w:rsidRPr="00182A45">
        <w:t>przyszłej polityki spójności, a także by doceniono wkład biogospodarki w spójność terytorialną w UE.</w:t>
      </w:r>
    </w:p>
    <w:p w14:paraId="3F03A549" w14:textId="77777777" w:rsidR="00640218" w:rsidRPr="00182A45" w:rsidRDefault="00640218" w:rsidP="001E0492">
      <w:pPr>
        <w:keepNext/>
        <w:keepLines/>
        <w:ind w:left="567" w:hanging="567"/>
        <w:outlineLvl w:val="0"/>
      </w:pPr>
    </w:p>
    <w:p w14:paraId="09E8B42B" w14:textId="5FD0C08E" w:rsidR="00640218" w:rsidRPr="00182A45" w:rsidRDefault="00640218" w:rsidP="001E0492">
      <w:pPr>
        <w:pStyle w:val="Heading1"/>
        <w:keepNext/>
        <w:keepLines/>
      </w:pPr>
      <w:r w:rsidRPr="00182A45">
        <w:t>Jest zdania, że kompleksowa ocena oddziaływania terytorialnego ma duże znaczenie dla przeglądu planu działania na rzecz biogospodarki i że w ramach następnego planu działania trzeba regularnie monitorować poczynione postępy, sporządzając sprawozdanie z realizacji.</w:t>
      </w:r>
    </w:p>
    <w:p w14:paraId="3F549682" w14:textId="5273E859" w:rsidR="00795698" w:rsidRPr="00182A45" w:rsidRDefault="00795698" w:rsidP="001E0492">
      <w:pPr>
        <w:keepNext/>
        <w:keepLines/>
        <w:ind w:left="567" w:hanging="567"/>
        <w:outlineLvl w:val="0"/>
      </w:pPr>
    </w:p>
    <w:p w14:paraId="2B1EDE9B" w14:textId="77777777" w:rsidR="009F6DDE" w:rsidRPr="00182A45" w:rsidRDefault="00833214" w:rsidP="001E0492">
      <w:pPr>
        <w:keepNext/>
      </w:pPr>
      <w:r w:rsidRPr="00182A45">
        <w:t>Potencjał biogospodarki</w:t>
      </w:r>
    </w:p>
    <w:p w14:paraId="4D371247" w14:textId="77777777" w:rsidR="00091698" w:rsidRPr="00182A45" w:rsidRDefault="00091698" w:rsidP="001E0492">
      <w:pPr>
        <w:keepNext/>
      </w:pPr>
    </w:p>
    <w:p w14:paraId="17E68563" w14:textId="056B79CD" w:rsidR="00833214" w:rsidRPr="00182A45" w:rsidRDefault="00833214" w:rsidP="001E0492">
      <w:pPr>
        <w:pStyle w:val="Heading1"/>
      </w:pPr>
      <w:r w:rsidRPr="00182A45">
        <w:t>Jest zdania, że z uwagi na globalne wyzwania, takie jak wzrost liczby ludności, coraz mniejsza ilość lub zubożenie zasobów i zmiana klimatu, trzeba znaleźć nowe rozwiązania, które również w przyszłości pozwolą zapewnić Europie i jej regionom zrównoważony wzrost, efektywne wykorzystanie kluczowych dla ludzkości zasobów i konkurencyjność. W tym kontekście istotną rolę odgrywa rozwój przyjaznych dla środowiska praktyk rolniczych.</w:t>
      </w:r>
      <w:r w:rsidRPr="00182A45">
        <w:rPr>
          <w:b/>
          <w:i/>
        </w:rPr>
        <w:t xml:space="preserve"> </w:t>
      </w:r>
      <w:r w:rsidRPr="00182A45">
        <w:t>Europejski Komitet Regionów (KR) jest przekonany, że biogospodarka oparta na wiedzy i w pełni przyjazna dla środowiska może mieć tu duże znaczenie. Biogospodarka to centralne zagadnienie przyszłości. Jej istotny potencjał spoczywa między innymi w propagowaniu zrównoważenia środowiskowego poprzez uniezależnienie się od paliw kopalnych i w przeciwdziałaniu zmianie klimatu dzięki neutralnemu bilansowi emisji CO</w:t>
      </w:r>
      <w:r w:rsidRPr="00182A45">
        <w:rPr>
          <w:vertAlign w:val="subscript"/>
        </w:rPr>
        <w:t>2</w:t>
      </w:r>
      <w:r w:rsidRPr="00182A45">
        <w:t>. Wytworzone w zrównoważony sposób produkty i usługi z zastosowaniem zasobów biologicznych mogą połączyć trzy aspekty zrównoważonego rozwoju, a mianowicie wzrost gospodarczy, wzrost społeczny i ochronę środowiska.</w:t>
      </w:r>
    </w:p>
    <w:p w14:paraId="2E508709" w14:textId="77777777" w:rsidR="001E0492" w:rsidRPr="00182A45" w:rsidRDefault="001E0492" w:rsidP="001E0492"/>
    <w:p w14:paraId="3ACC0567" w14:textId="4E573883" w:rsidR="00A23E02" w:rsidRPr="00182A45" w:rsidRDefault="00A23E02" w:rsidP="009342A0">
      <w:pPr>
        <w:pStyle w:val="Heading1"/>
      </w:pPr>
      <w:r w:rsidRPr="00182A45">
        <w:t>Nie neguje faktu, że z użyciem procedur biotechnologicznych związane są również zagrożenia. Istnieje ryzyko, że wykorzystanie biomasy jako podstawy bioproduktów doprowadzi do konkurencji o ziemię i wodę (dyskusja „żywność czy paliwo”). Dlatego też dostępne surowce trzeba wykorzystać w sposób zrównoważony, oszczędny i zróżnicowany. Inteligentne wykorzystanie biomasy jako materiału w systemie kaskadowym – wielokrotnie i jak często to tylko możliwe – może się do tego przyczynić. To podejście trzeba uwzględnić w dalszym strategicznym ukierunkowywaniu promowania biogospodarki. Stosowanie biotechnologii może również wpływać na zmniejszanie się różnorodności biologicznej, w tym również z powodu stosowania GMO. Wskazane jest przy wszelkich przedsięwzięciach bezwzględne stosowanie zasady przezorności zgodnie z zasadą prawa unijnego określoną w art. 191 Traktatu o</w:t>
      </w:r>
      <w:r w:rsidR="001E0492" w:rsidRPr="00182A45">
        <w:t> </w:t>
      </w:r>
      <w:r w:rsidRPr="00182A45">
        <w:t>funkcjonowaniu Unii Europejskiej (TFUE).</w:t>
      </w:r>
    </w:p>
    <w:p w14:paraId="19A02ED8" w14:textId="77777777" w:rsidR="000D2F1F" w:rsidRPr="00182A45" w:rsidRDefault="000D2F1F" w:rsidP="00434E66"/>
    <w:p w14:paraId="2BA41828" w14:textId="784F4580" w:rsidR="00833214" w:rsidRPr="00182A45" w:rsidRDefault="00833214" w:rsidP="009342A0">
      <w:pPr>
        <w:pStyle w:val="Heading1"/>
      </w:pPr>
      <w:r w:rsidRPr="00182A45">
        <w:t>Stwierdza, że możliwie największy udział bioproduktów w jak największej liczbie branż pozwala również stworzyć i utrzymać miejsca pracy na nowych, zrównoważonych rynkach, zwłaszcza w słabo dotychczas uprzemysłowionych regionach znajdujących się w</w:t>
      </w:r>
      <w:r w:rsidR="001E0492" w:rsidRPr="00182A45">
        <w:t> </w:t>
      </w:r>
      <w:r w:rsidRPr="00182A45">
        <w:t>niekorzystnym położeniu, a także w regionach wiejskich, górskich i przybrzeżnych. Zaawansowane technologie w przemyśle biochemicznym i biofarmaceutycznym mogą nie tylko pozwolić na odrodzenie się działalności na obszarach dotkniętych dezindustrializacją lub głębokim kryzysem, ale także przynieść korzyści z punktu widzenia zdrowia i jakości życia obywateli. Nadaje to biogospodarce wymiar społeczny, gdyż może ona być siłą napędową przemiany strukturalnej na poziomie lokalnym i regionalnym i stwarzać szanse na nią.</w:t>
      </w:r>
    </w:p>
    <w:p w14:paraId="513F8F2C" w14:textId="77777777" w:rsidR="000124FF" w:rsidRPr="00182A45" w:rsidRDefault="000124FF" w:rsidP="009342A0"/>
    <w:p w14:paraId="0E646042" w14:textId="72C28562" w:rsidR="00833214" w:rsidRPr="00182A45" w:rsidRDefault="006418EF" w:rsidP="009342A0">
      <w:pPr>
        <w:pStyle w:val="Heading1"/>
      </w:pPr>
      <w:r w:rsidRPr="00182A45">
        <w:t>Stawia sobie za cel, by w najbliższej dekadzie wyraźnie zwiększono udział innowacyjnych gałęzi bioprzemysłu w PKB, i jest przekonany, że cel ten można osiągnąć wyłącznie z pomocą regionów.</w:t>
      </w:r>
    </w:p>
    <w:p w14:paraId="48833E0C" w14:textId="77777777" w:rsidR="003E36CE" w:rsidRPr="00182A45" w:rsidRDefault="003E36CE" w:rsidP="009342A0"/>
    <w:p w14:paraId="52BD4236" w14:textId="30850B67" w:rsidR="006418EF" w:rsidRPr="00182A45" w:rsidRDefault="006418EF" w:rsidP="009342A0">
      <w:pPr>
        <w:pStyle w:val="Heading1"/>
      </w:pPr>
      <w:r w:rsidRPr="00182A45">
        <w:t>Stwierdza, że dla rozwoju biogospodarki decydujące znaczenie mają zarówno warunki regionalne (dostępność zasobów naturalnych, stopień wykorzystania gospodarczego, rozwój łańcuchów wartości, dostępność innowacyjnego otoczenia), jak i decyzje strategiczne podejmowane przez podmioty na szczeblu lokalnym. Oznacza to, że możliwości wywierania wpływu na dalszy rozwój biogospodarki istnieją i mogą zostać wykorzystane w następujących dziedzinach: nauka, technologia, produkcja podstawowa i infrastruktura przemysłowa, popyt i</w:t>
      </w:r>
      <w:r w:rsidR="001E0492" w:rsidRPr="00182A45">
        <w:t> </w:t>
      </w:r>
      <w:r w:rsidRPr="00182A45">
        <w:t>systemy zachęt, zachowania i świadomość konsumenta, kultura, polityka i przepisy.</w:t>
      </w:r>
    </w:p>
    <w:p w14:paraId="41A1EF5A" w14:textId="77777777" w:rsidR="00461482" w:rsidRPr="00182A45" w:rsidRDefault="00461482" w:rsidP="00434E66"/>
    <w:p w14:paraId="7C683273" w14:textId="77777777" w:rsidR="00DE5703" w:rsidRPr="00182A45" w:rsidRDefault="00DE5703" w:rsidP="00694E84">
      <w:pPr>
        <w:keepNext/>
      </w:pPr>
      <w:r w:rsidRPr="00182A45">
        <w:t>Przeszkody w rozwoju biogospodarki</w:t>
      </w:r>
    </w:p>
    <w:p w14:paraId="7643A3A7" w14:textId="77777777" w:rsidR="005A2B92" w:rsidRPr="00182A45" w:rsidRDefault="005A2B92" w:rsidP="00694E84">
      <w:pPr>
        <w:keepNext/>
      </w:pPr>
    </w:p>
    <w:p w14:paraId="57398781" w14:textId="2AC2A070" w:rsidR="006418EF" w:rsidRPr="00182A45" w:rsidRDefault="00DE5703" w:rsidP="001E0492">
      <w:pPr>
        <w:pStyle w:val="Heading1"/>
        <w:keepNext/>
        <w:keepLines/>
      </w:pPr>
      <w:r w:rsidRPr="00182A45">
        <w:t>Z zadowoleniem przyjmuje starania wielu regionów UE zmierzające do rozwinięcia biogospodarki, lecz jednocześnie wskazuje na duże różnice między regionami w tym zakresie i</w:t>
      </w:r>
      <w:r w:rsidR="001E0492" w:rsidRPr="00182A45">
        <w:t> </w:t>
      </w:r>
      <w:r w:rsidRPr="00182A45">
        <w:t>dostrzega na tym polu spory potencjał rozwoju. W regionach UE istnieje wiele rozbieżnych definicji tego, co oznacza pojęcie biotechnologia. KR jest zatem zdania, że potrzebne są bardziej odpowiednie strategie komunikacji, by wyjaśnić potencjał biogospodarki i krzewić odpowiednio świadomość na ten temat. Zwraca się do Komisji, lecz także do państw członkowskich i regionów UE, by podjęły odpowiednie działania i zwiększyły swoje starania. Niezbędna jest otwarta i przejrzysta dyskusja na szczeblu lokalnym ze wszystkimi odpowiednimi partnerami w sprawie celów, wyzwań i możliwości wdrażania biogospodarki oraz negatywnych skutków i szkód płynących z jej niewdrożenia. Należy również informować obywateli o biogospodarce i – inaczej niż w przypadku biotechnologii – zapewnić im możliwość aktywnego włączenia się.</w:t>
      </w:r>
    </w:p>
    <w:p w14:paraId="6B7857C7" w14:textId="77777777" w:rsidR="00EF4347" w:rsidRPr="00182A45" w:rsidRDefault="00EF4347" w:rsidP="00434E66"/>
    <w:p w14:paraId="6ABEDD58" w14:textId="6E8034FC" w:rsidR="0006155E" w:rsidRPr="00182A45" w:rsidRDefault="0006155E" w:rsidP="009342A0">
      <w:pPr>
        <w:pStyle w:val="Heading1"/>
      </w:pPr>
      <w:r w:rsidRPr="00182A45">
        <w:t>Dostrzega przeszkody w rozwoju biogospodarki w następujących dziedzinach: niepewny rozwój rynku i technologii, a także związane z tym wysokie ryzyko dla projektów i długi okres zwrotu z rozbudowy infrastruktury, wysokie koszty badań i rozwoju, wyższe koszty bioproduktów, które pomimo zrównoważoności są trudne do przekonującego zakomunikowania użytkownikom końcowym, wiele pojedynczych podmiotów (producenci, polityka, nauka), otoczenie prawne, brak długoterminowej strategii obejmującej wszystkie etapy rozwoju i brak tworzenia sprzyjających warunków, aby ograniczyć znaczne ryzyko biznesowe w tym sektorze.</w:t>
      </w:r>
    </w:p>
    <w:p w14:paraId="373E6EE8" w14:textId="77777777" w:rsidR="004936ED" w:rsidRPr="00182A45" w:rsidRDefault="004936ED" w:rsidP="00434E66"/>
    <w:p w14:paraId="7131905F" w14:textId="77777777" w:rsidR="004936ED" w:rsidRPr="00182A45" w:rsidRDefault="004936ED" w:rsidP="00694E84">
      <w:pPr>
        <w:keepNext/>
        <w:rPr>
          <w:i/>
        </w:rPr>
      </w:pPr>
      <w:r w:rsidRPr="00182A45">
        <w:t>Inwestycje i finansowanie</w:t>
      </w:r>
    </w:p>
    <w:p w14:paraId="6D9F41BB" w14:textId="77777777" w:rsidR="00EF4347" w:rsidRPr="00182A45" w:rsidRDefault="00EF4347" w:rsidP="00070CD5">
      <w:pPr>
        <w:keepNext/>
      </w:pPr>
    </w:p>
    <w:p w14:paraId="647D0DAE" w14:textId="477DAB1F" w:rsidR="004936ED" w:rsidRPr="00182A45" w:rsidRDefault="004936ED" w:rsidP="009342A0">
      <w:pPr>
        <w:pStyle w:val="Heading1"/>
      </w:pPr>
      <w:r w:rsidRPr="00182A45">
        <w:t>Przyjmuje z zadowoleniem fakt, że z programu „Horyzont 2020” przeznaczono 3,85 mld EUR na inwestycje w dziedzinie badań i rozwoju biogospodarki, że podjęto decyzję w sprawie utworzenia Wspólnego Przedsięwzięcia na rzecz Bioprzemysłu i że finansowanie EFIS 2.0 będzie również dostępne dla projektów mających znaczenie dla biogospodarki.</w:t>
      </w:r>
    </w:p>
    <w:p w14:paraId="2C82AE12" w14:textId="77777777" w:rsidR="000124FF" w:rsidRPr="00182A45" w:rsidRDefault="000124FF" w:rsidP="00434E66"/>
    <w:p w14:paraId="2C5CA48F" w14:textId="7D39CE36" w:rsidR="00D868AD" w:rsidRPr="00182A45" w:rsidRDefault="00BA5CDB" w:rsidP="009342A0">
      <w:pPr>
        <w:pStyle w:val="Heading1"/>
      </w:pPr>
      <w:r w:rsidRPr="00182A45">
        <w:t>Podkreśla, że niezbędne są dalsze inwestycje w tworzenie i rozbudowę gospodarki opartej na biomasie, i apeluje o łatwiejszy dostęp do różnych dostępnych instrumentów finansowych (funduszy strukturalnych i inwestycyjnych, EFIS, programu „Horyzont 2020”, WPR) z</w:t>
      </w:r>
      <w:r w:rsidR="001E0492" w:rsidRPr="00182A45">
        <w:t> </w:t>
      </w:r>
      <w:r w:rsidRPr="00182A45">
        <w:t>wykorzystaniem komplementarności i synergii. Zwraca się o stworzenie nowych i lepszych możliwości łączenia programów wsparcia UE (promowanie innowacji i inwestycji, gwarancje), by zmniejszyć ryzyko dla inwestorów prywatnych oraz pomóc małym i średnim przedsiębiorstwom we wprowadzaniu bioproduktów na rynek.</w:t>
      </w:r>
    </w:p>
    <w:p w14:paraId="7921C861" w14:textId="77777777" w:rsidR="000124FF" w:rsidRPr="00182A45" w:rsidRDefault="000124FF" w:rsidP="009342A0"/>
    <w:p w14:paraId="2011278D" w14:textId="0BE7F31D" w:rsidR="00792BD0" w:rsidRPr="00182A45" w:rsidRDefault="00792BD0" w:rsidP="009342A0">
      <w:pPr>
        <w:pStyle w:val="Heading1"/>
      </w:pPr>
      <w:r w:rsidRPr="00182A45">
        <w:t>Opowiada się za lepszymi możliwościami wsparcia, wystarczającym kapitałem wysokiego ryzyka i odpowiednimi funduszami na innowację w celu opracowania rozwiązań rynkowych umożliwiających produkcję seryjną i ograniczenia szczególnego ryzyka gospodarczego dla MŚP, zwłaszcza na etapie wprowadzania na rynek czy do obrotu.</w:t>
      </w:r>
    </w:p>
    <w:p w14:paraId="7ABCB5B9" w14:textId="77777777" w:rsidR="005A2B92" w:rsidRPr="00182A45" w:rsidRDefault="005A2B92" w:rsidP="00434E66"/>
    <w:p w14:paraId="70D811E6" w14:textId="45FA548D" w:rsidR="005B3A56" w:rsidRPr="00182A45" w:rsidRDefault="005B3A56" w:rsidP="001E0492">
      <w:pPr>
        <w:pStyle w:val="Heading1"/>
        <w:keepNext/>
        <w:keepLines/>
      </w:pPr>
      <w:r w:rsidRPr="00182A45">
        <w:t>Wskazuje, że regionalne warunki rozwoju biogospodarki są bardzo różnorodne, i wnosi, by Komisja przedstawiła propozycje w sprawie sposobu, w jaki podejścia regionalne mogą zostać na wczesnym etapie wprowadzone do planowania polityki dotyczącej możliwości wsparcia. Celem jest opracowanie procedur i takie ukształtowanie instrumentów wsparcia, by mogły one być skutecznie zastosowane w różnych warunkach regionalnych, pozwoliły stawić czoła wyzwaniom wynikającym z wyspiarskiego charakteru i oddalenia i były lepiej powiązane z</w:t>
      </w:r>
      <w:r w:rsidR="001E0492" w:rsidRPr="00182A45">
        <w:t> </w:t>
      </w:r>
      <w:r w:rsidRPr="00182A45">
        <w:t>krajowymi, regionalnymi i lokalnymi programami wsparcia.</w:t>
      </w:r>
    </w:p>
    <w:p w14:paraId="2C3389EF" w14:textId="77777777" w:rsidR="000124FF" w:rsidRPr="00182A45" w:rsidRDefault="000124FF" w:rsidP="00434E66"/>
    <w:p w14:paraId="503F6685" w14:textId="77777777" w:rsidR="009A2898" w:rsidRPr="00182A45" w:rsidRDefault="0055529C" w:rsidP="009342A0">
      <w:pPr>
        <w:pStyle w:val="Heading1"/>
      </w:pPr>
      <w:r w:rsidRPr="00182A45">
        <w:t>Wnosi, by sprawdzono, jakie wsparcie biogospodarki po stronie popytu i jakie instrumenty po stronie popytu dla bioproduktów można wprowadzić. Uważa, że systemy zachęt rynkowych dla bioproduktów mogą się przyczynić do częściowego złagodzenia niekorzystnej sytuacji związanej z kosztami dla użytkowników i tym samym wesprzeć w perspektywie długoterminowej lepszy dostęp do rynku zrównoważonych bioproduktów.</w:t>
      </w:r>
    </w:p>
    <w:p w14:paraId="2B4CEE36" w14:textId="77777777" w:rsidR="004936ED" w:rsidRPr="00182A45" w:rsidRDefault="004936ED" w:rsidP="00434E66"/>
    <w:p w14:paraId="415B44B1" w14:textId="1682737E" w:rsidR="004936ED" w:rsidRPr="00182A45" w:rsidRDefault="00CE693D" w:rsidP="008B5628">
      <w:pPr>
        <w:keepNext/>
        <w:keepLines/>
        <w:rPr>
          <w:i/>
        </w:rPr>
      </w:pPr>
      <w:r w:rsidRPr="00182A45">
        <w:t>Wsparcie regionów i podmiotów regionalnych oraz stanowienie prawa</w:t>
      </w:r>
    </w:p>
    <w:p w14:paraId="137CCA5C" w14:textId="77777777" w:rsidR="00602930" w:rsidRPr="00182A45" w:rsidRDefault="00602930" w:rsidP="008B5628">
      <w:pPr>
        <w:keepNext/>
        <w:keepLines/>
      </w:pPr>
    </w:p>
    <w:p w14:paraId="3BA53B78" w14:textId="01452C17" w:rsidR="00CE693D" w:rsidRPr="00182A45" w:rsidRDefault="00CE693D" w:rsidP="009342A0">
      <w:pPr>
        <w:pStyle w:val="Heading1"/>
      </w:pPr>
      <w:r w:rsidRPr="00182A45">
        <w:t>Podkreśla, że regiony i gminy odgrywają szczególną, coraz istotniejszą rolę w rozwoju biogospodarki, gdyż lokalnie dostępne biosurowce są punktem wyjścia dla łańcuchów wartości w biogospodarce.</w:t>
      </w:r>
    </w:p>
    <w:p w14:paraId="3D90C6C1" w14:textId="77777777" w:rsidR="005A2B92" w:rsidRPr="00182A45" w:rsidRDefault="005A2B92" w:rsidP="00434E66"/>
    <w:p w14:paraId="602D7D00" w14:textId="223CF2A9" w:rsidR="00F56FFE" w:rsidRPr="00182A45" w:rsidRDefault="00C65DB3" w:rsidP="009342A0">
      <w:pPr>
        <w:pStyle w:val="Heading1"/>
      </w:pPr>
      <w:r w:rsidRPr="00182A45">
        <w:t>Wskazuje, że regiony UE potrzebują większego wsparcia przy opracowywaniu i wdrażaniu regionalnych strategii na rzecz biogospodarki, w związku z czym przyjmuje z zadowoleniem takie inicjatywy jak European Sustainable Chemicals Support Service. Proponuje, by tego rodzaju inicjatywy zostały również poszerzone o inne sektory biogospodarki (np. przemysł farmaceutyczny i motoryzacyjny, budownictwo, gospodarka energetyczna, biotechnologia, sektor rolno-spożywczy i leśny, budowa instalacji przemysłowych, technologie informacyjno-komunikacyjne).</w:t>
      </w:r>
    </w:p>
    <w:p w14:paraId="0925699A" w14:textId="77777777" w:rsidR="005A2B92" w:rsidRPr="00182A45" w:rsidRDefault="005A2B92" w:rsidP="00434E66"/>
    <w:p w14:paraId="37FBEB01" w14:textId="3CE8C03B" w:rsidR="00CE693D" w:rsidRPr="00182A45" w:rsidRDefault="00F56FFE" w:rsidP="009342A0">
      <w:pPr>
        <w:pStyle w:val="Heading1"/>
      </w:pPr>
      <w:r w:rsidRPr="00182A45">
        <w:t>Zaleca, by wsiom, miastom, regionom i ich stowarzyszeniom międzyregionalnym nadano większą rolę w celu wskazania modeli najlepszych rozwiązań i umożliwienia uczenia się opartego na analizie porównawczej między regionami, w których rozwija się biogospodarka. Opowiada się ponadto za przyjęciem odpowiednich środków mających na celu wzmocnienie roli gmin w rozwoju biogospodarki, w tym w ramach organizowanych przez nie działań. Warto pamiętać, że często to właśnie na szczeblu lokalnym oraz w działaniach na małą skalę rozpoczynają się procesy bioekonomiczne. Dlatego tak ważne jest wspieranie takich inicjatyw.</w:t>
      </w:r>
    </w:p>
    <w:p w14:paraId="31E0FC9B" w14:textId="77777777" w:rsidR="00577CE9" w:rsidRPr="00182A45" w:rsidRDefault="00577CE9" w:rsidP="00070CD5"/>
    <w:p w14:paraId="221E0AD1" w14:textId="5B80754F" w:rsidR="00F56FFE" w:rsidRPr="00182A45" w:rsidRDefault="000E673C" w:rsidP="009342A0">
      <w:pPr>
        <w:pStyle w:val="Heading1"/>
      </w:pPr>
      <w:r w:rsidRPr="00182A45">
        <w:t>Podkreśla, że sieci międzyregionalne, takie jak np. europejski klaster biogospodarki 3BI, inicjatywa Vanguard czy też Europejska Sieć Regionów Przemysłu Chemicznego (ECRN), a</w:t>
      </w:r>
      <w:r w:rsidR="001E0492" w:rsidRPr="00182A45">
        <w:t> </w:t>
      </w:r>
      <w:r w:rsidRPr="00182A45">
        <w:t>także inne sieci związane z rolnictwem i środowiskiem wiejskim (np. Euromontana, AREPO, ERIAFF itp.), wnoszą istotny wkład w rozwój biogospodarki. Są one istotną strukturą służącą rozwojowi strategii i organizacji wymiany wiedzy na szczeblu lokalnym i regionalnym. Przy tym pełnią często funkcję łącznika między szczeblem lokalnym, regionalnym, krajowym i</w:t>
      </w:r>
      <w:r w:rsidR="001E0492" w:rsidRPr="00182A45">
        <w:t> </w:t>
      </w:r>
      <w:r w:rsidRPr="00182A45">
        <w:t>europejskim.</w:t>
      </w:r>
    </w:p>
    <w:p w14:paraId="1FBF943B" w14:textId="77777777" w:rsidR="00D17D20" w:rsidRPr="00182A45" w:rsidRDefault="00D17D20" w:rsidP="00434E66"/>
    <w:p w14:paraId="71BB75F9" w14:textId="46D8E442" w:rsidR="000F2E25" w:rsidRPr="00182A45" w:rsidRDefault="000F2E25" w:rsidP="009342A0">
      <w:pPr>
        <w:pStyle w:val="Heading1"/>
      </w:pPr>
      <w:r w:rsidRPr="00182A45">
        <w:t>Popiera takie inicjatywy jak na przykład łódzka deklaracja bioregionów</w:t>
      </w:r>
      <w:r w:rsidRPr="00182A45">
        <w:rPr>
          <w:rStyle w:val="FootnoteReference"/>
        </w:rPr>
        <w:footnoteReference w:id="2"/>
      </w:r>
      <w:r w:rsidRPr="00182A45">
        <w:t xml:space="preserve"> (przyjęta przez regiony Europy Środkowej i Wschodniej i zainteresowane strony z sektora przedsiębiorstw, ośrodki akademickie, organizacje pozarządowe i rolników na Europejskim Kongresie Biogospodarki, który odbył się w Łodzi w 2016 r.) i przyjmuje z zadowoleniem ściślejsze powiązanie międzyregionalne bioregionów dzięki transgranicznym łańcuchom wartości oraz współpracy makroregionalnej.</w:t>
      </w:r>
    </w:p>
    <w:p w14:paraId="3FA9C320" w14:textId="77777777" w:rsidR="000124FF" w:rsidRPr="00182A45" w:rsidRDefault="000124FF" w:rsidP="00434E66"/>
    <w:p w14:paraId="6EAF6B3A" w14:textId="5D8ECC2D" w:rsidR="006A3260" w:rsidRPr="00182A45" w:rsidRDefault="006A3260" w:rsidP="009342A0">
      <w:pPr>
        <w:pStyle w:val="Heading1"/>
      </w:pPr>
      <w:r w:rsidRPr="00182A45">
        <w:t>Jest przekonany, że rozwój biogospodarki wymaga całościowego podejścia łączącego różne dziedziny polityki i że klastry o globalnym potencjale, sieci i inne platformy powinny być aktywniej wspierane, by organizować transfer wiedzy i dialog wzdłuż łańcuchów wartości.</w:t>
      </w:r>
    </w:p>
    <w:p w14:paraId="5DE10884" w14:textId="77777777" w:rsidR="006C23A3" w:rsidRPr="00182A45" w:rsidRDefault="006C23A3" w:rsidP="00434E66"/>
    <w:p w14:paraId="6906FE74" w14:textId="788FAE30" w:rsidR="00181B77" w:rsidRPr="00182A45" w:rsidRDefault="00181B77" w:rsidP="001E0492">
      <w:pPr>
        <w:pStyle w:val="Heading1"/>
        <w:keepNext/>
        <w:keepLines/>
      </w:pPr>
      <w:r w:rsidRPr="00182A45">
        <w:t>Uważa, że pilnie potrzebne jest usprawnienie koordynacji między różnymi poziomami politycznymi i szczeblami sprawowania rządów w celu promowania biogospodarki, szczególnie w odniesieniu do ram prawnych. Obecnie w 28 państwach członkowskich obowiązują różne przepisy dotyczące wykorzystania biomasy jako podstawy łańcuchów wartości w</w:t>
      </w:r>
      <w:r w:rsidR="001E0492" w:rsidRPr="00182A45">
        <w:t> </w:t>
      </w:r>
      <w:r w:rsidRPr="00182A45">
        <w:t>biogospodarce. Produkty końcowe powstałe w ramach biogospodarki są też różnorodnie traktowane w poszczególnych państwach członkowskich. Zdaniem KR-u potrzebne są harmonizacja i uproszczenie prawodawstwa zgodnie z zasadami pomocniczości i</w:t>
      </w:r>
      <w:r w:rsidR="001E0492" w:rsidRPr="00182A45">
        <w:t> </w:t>
      </w:r>
      <w:r w:rsidRPr="00182A45">
        <w:t>proporcjonalności.</w:t>
      </w:r>
    </w:p>
    <w:p w14:paraId="4C5C934A" w14:textId="77777777" w:rsidR="006A3260" w:rsidRPr="00182A45" w:rsidRDefault="006A3260" w:rsidP="009342A0"/>
    <w:p w14:paraId="168B4DFC" w14:textId="51609C9F" w:rsidR="00181B77" w:rsidRPr="00182A45" w:rsidRDefault="00181B77" w:rsidP="00694E84">
      <w:pPr>
        <w:keepNext/>
        <w:rPr>
          <w:i/>
        </w:rPr>
      </w:pPr>
      <w:r w:rsidRPr="00182A45">
        <w:t>Badania i rozwój oraz kształcenie</w:t>
      </w:r>
    </w:p>
    <w:p w14:paraId="793B76B0" w14:textId="77777777" w:rsidR="004936ED" w:rsidRPr="00182A45" w:rsidRDefault="004936ED" w:rsidP="00694E84">
      <w:pPr>
        <w:keepNext/>
      </w:pPr>
    </w:p>
    <w:p w14:paraId="79453C57" w14:textId="748CBB5D" w:rsidR="00C14E4F" w:rsidRPr="00182A45" w:rsidRDefault="00C14E4F" w:rsidP="009342A0">
      <w:pPr>
        <w:pStyle w:val="Heading1"/>
      </w:pPr>
      <w:r w:rsidRPr="00182A45">
        <w:t>Podkreśla, że zasadnicze znaczenie dla rozbudowy biogospodarki ma poszerzenie wiedzy w</w:t>
      </w:r>
      <w:r w:rsidR="001E0492" w:rsidRPr="00182A45">
        <w:t> </w:t>
      </w:r>
      <w:r w:rsidRPr="00182A45">
        <w:t>zakresie zrównoważonego wykorzystania biomasy jako podstawy łańcucha wartości w</w:t>
      </w:r>
      <w:r w:rsidR="001E0492" w:rsidRPr="00182A45">
        <w:t> </w:t>
      </w:r>
      <w:r w:rsidRPr="00182A45">
        <w:t>biogospodarce. Wzmocnienie badań i opracowywania nowych produktów, a także ich wprowadzania do obrotu to długotrwały proces wymagający wielu zasobów ludzkich i</w:t>
      </w:r>
      <w:r w:rsidR="001E0492" w:rsidRPr="00182A45">
        <w:t> </w:t>
      </w:r>
      <w:r w:rsidRPr="00182A45">
        <w:t>finansowych.</w:t>
      </w:r>
    </w:p>
    <w:p w14:paraId="12AECE3C" w14:textId="77777777" w:rsidR="00BC4120" w:rsidRPr="00182A45" w:rsidRDefault="00BC4120" w:rsidP="009342A0"/>
    <w:p w14:paraId="6657DDB5" w14:textId="61EF170D" w:rsidR="00495AAA" w:rsidRPr="00182A45" w:rsidRDefault="00495AAA" w:rsidP="009342A0">
      <w:pPr>
        <w:pStyle w:val="Heading1"/>
      </w:pPr>
      <w:r w:rsidRPr="00182A45">
        <w:t>Zaleca, by zwiększono jeszcze wsparcie dla sieci badawczych i współpracy między poszczególnymi podmiotami w różnych łańcuchach wartości, w tym z uczelniami i</w:t>
      </w:r>
      <w:r w:rsidR="001E0492" w:rsidRPr="00182A45">
        <w:t> </w:t>
      </w:r>
      <w:r w:rsidRPr="00182A45">
        <w:t>pozauniwersyteckimi instytutami badawczymi, a także by ściślej powiązano ze sobą potencjał w dziedzinie nauki, produkcji i gospodarki. Należy zwłaszcza wzmocnić krajowe i regionalne inicjatywy na rzecz klastrów, mające na celu wprowadzanie na rynek wyników innowacji, poprzez sieć interakcji i synergii między producentami, badaczami, przedsiębiorcami, inwestorami i decydentami politycznymi.</w:t>
      </w:r>
    </w:p>
    <w:p w14:paraId="245D5C78" w14:textId="77777777" w:rsidR="00D319D2" w:rsidRPr="00182A45" w:rsidRDefault="00D319D2" w:rsidP="00434E66"/>
    <w:p w14:paraId="06DDEF33" w14:textId="0C53C4EB" w:rsidR="00792BD0" w:rsidRPr="00182A45" w:rsidRDefault="00495AAA" w:rsidP="009342A0">
      <w:pPr>
        <w:pStyle w:val="Heading1"/>
      </w:pPr>
      <w:r w:rsidRPr="00182A45">
        <w:t>Opowiada się za tym, by przeprowadzono kompleksowy przegląd istniejących istotnych dla biogospodarki inicjatyw. Należy lepiej wspierać i finansować zakłady pilotażowe, demonstracyjne i produkcyjne omawianego sektora w regionach europejskich, aby doprowadzić do rozwoju niskoemisyjnych procesów produkcyjnych i przemysłowych oraz wymiany doświadczeń i wiedzy fachowej. Strategia taka ma na celu unikanie dublowania działań oraz zmniejszenie kosztów procesów i produktów.</w:t>
      </w:r>
    </w:p>
    <w:p w14:paraId="0B2E380B" w14:textId="77777777" w:rsidR="000124FF" w:rsidRPr="00182A45" w:rsidRDefault="000124FF" w:rsidP="00434E66"/>
    <w:p w14:paraId="0728C089" w14:textId="3592590F" w:rsidR="004100F5" w:rsidRPr="00182A45" w:rsidRDefault="00117967" w:rsidP="009342A0">
      <w:pPr>
        <w:pStyle w:val="Heading1"/>
      </w:pPr>
      <w:r w:rsidRPr="00182A45">
        <w:t>Zauważa, że w związku z rozwojem biogospodarki zachodzi przemiana struktury kształcenia i</w:t>
      </w:r>
      <w:r w:rsidR="001E0492" w:rsidRPr="00182A45">
        <w:t> </w:t>
      </w:r>
      <w:r w:rsidRPr="00182A45">
        <w:t>szkolenia, co wymaga większej interdyscyplinarności kształcenia i szkolenia i większego uwzględnienia nowych ścieżek edukacyjnych w programach nauczania.</w:t>
      </w:r>
    </w:p>
    <w:p w14:paraId="4FDDFAA7" w14:textId="77777777" w:rsidR="00C14E4F" w:rsidRPr="00182A45" w:rsidRDefault="00C14E4F" w:rsidP="00434E66"/>
    <w:p w14:paraId="11E5A639" w14:textId="226BB611" w:rsidR="009535B4" w:rsidRPr="00182A45" w:rsidRDefault="00076622" w:rsidP="001E0492">
      <w:pPr>
        <w:keepNext/>
        <w:keepLines/>
      </w:pPr>
      <w:r w:rsidRPr="00182A45">
        <w:t>Bruksela, 11 maja 2017 r.</w:t>
      </w:r>
    </w:p>
    <w:p w14:paraId="7BDC4C7E" w14:textId="77777777" w:rsidR="008108CF" w:rsidRPr="00182A45" w:rsidRDefault="008108CF" w:rsidP="001E0492">
      <w:pPr>
        <w:keepNext/>
        <w:keepLines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5"/>
      </w:tblGrid>
      <w:tr w:rsidR="008108CF" w:rsidRPr="00182A45" w14:paraId="7718B860" w14:textId="77777777" w:rsidTr="00F53A61">
        <w:tc>
          <w:tcPr>
            <w:tcW w:w="4644" w:type="dxa"/>
          </w:tcPr>
          <w:p w14:paraId="19346DD7" w14:textId="4D516575" w:rsidR="008108CF" w:rsidRPr="00182A45" w:rsidRDefault="008108CF" w:rsidP="001E0492">
            <w:pPr>
              <w:keepNext/>
              <w:keepLines/>
              <w:jc w:val="center"/>
            </w:pPr>
            <w:r w:rsidRPr="00182A45">
              <w:t xml:space="preserve">Przewodniczący </w:t>
            </w:r>
            <w:r w:rsidRPr="00182A45">
              <w:br/>
              <w:t xml:space="preserve">Europejskiego Komitetu Regionów </w:t>
            </w:r>
            <w:r w:rsidRPr="00182A45">
              <w:br/>
              <w:t xml:space="preserve"> </w:t>
            </w:r>
            <w:r w:rsidRPr="00182A45">
              <w:br/>
              <w:t xml:space="preserve"> </w:t>
            </w:r>
            <w:r w:rsidRPr="00182A45">
              <w:br/>
              <w:t xml:space="preserve"> </w:t>
            </w:r>
            <w:r w:rsidRPr="00182A45">
              <w:br/>
              <w:t xml:space="preserve"> </w:t>
            </w:r>
            <w:r w:rsidRPr="00182A45">
              <w:br/>
              <w:t>Markku MARKKULA</w:t>
            </w:r>
          </w:p>
        </w:tc>
        <w:tc>
          <w:tcPr>
            <w:tcW w:w="4645" w:type="dxa"/>
          </w:tcPr>
          <w:p w14:paraId="0B668569" w14:textId="77777777" w:rsidR="008108CF" w:rsidRPr="00182A45" w:rsidRDefault="008108CF" w:rsidP="001E0492">
            <w:pPr>
              <w:keepNext/>
              <w:keepLines/>
              <w:jc w:val="center"/>
            </w:pPr>
          </w:p>
        </w:tc>
      </w:tr>
      <w:tr w:rsidR="00C676DE" w:rsidRPr="00182A45" w14:paraId="4C67C067" w14:textId="77777777" w:rsidTr="00F53A61">
        <w:tc>
          <w:tcPr>
            <w:tcW w:w="4644" w:type="dxa"/>
          </w:tcPr>
          <w:p w14:paraId="0A6633AA" w14:textId="77777777" w:rsidR="008108CF" w:rsidRPr="00182A45" w:rsidRDefault="008108CF" w:rsidP="001E0492">
            <w:pPr>
              <w:keepNext/>
              <w:keepLines/>
              <w:jc w:val="center"/>
            </w:pPr>
          </w:p>
        </w:tc>
        <w:tc>
          <w:tcPr>
            <w:tcW w:w="4645" w:type="dxa"/>
          </w:tcPr>
          <w:p w14:paraId="0DD8ACBE" w14:textId="6D2B037B" w:rsidR="008108CF" w:rsidRPr="00182A45" w:rsidRDefault="008108CF" w:rsidP="001E0492">
            <w:pPr>
              <w:keepNext/>
              <w:keepLines/>
              <w:jc w:val="center"/>
            </w:pPr>
            <w:r w:rsidRPr="00182A45">
              <w:t xml:space="preserve">Sekretarz Generalny </w:t>
            </w:r>
            <w:r w:rsidRPr="00182A45">
              <w:br/>
              <w:t xml:space="preserve">Europejskiego Komitetu Regionów </w:t>
            </w:r>
            <w:r w:rsidRPr="00182A45">
              <w:br/>
              <w:t xml:space="preserve"> </w:t>
            </w:r>
            <w:r w:rsidRPr="00182A45">
              <w:br/>
              <w:t xml:space="preserve"> </w:t>
            </w:r>
            <w:r w:rsidRPr="00182A45">
              <w:br/>
              <w:t xml:space="preserve"> </w:t>
            </w:r>
            <w:r w:rsidRPr="00182A45">
              <w:br/>
              <w:t xml:space="preserve"> </w:t>
            </w:r>
            <w:r w:rsidRPr="00182A45">
              <w:br/>
              <w:t>Jiří BURIÁNEK</w:t>
            </w:r>
          </w:p>
        </w:tc>
      </w:tr>
    </w:tbl>
    <w:p w14:paraId="1F3DD6F2" w14:textId="77777777" w:rsidR="008108CF" w:rsidRPr="00182A45" w:rsidRDefault="008108CF" w:rsidP="00434E66"/>
    <w:p w14:paraId="32268C1C" w14:textId="77777777" w:rsidR="00117967" w:rsidRPr="00182A45" w:rsidRDefault="009535B4" w:rsidP="002D7181">
      <w:r w:rsidRPr="00182A45">
        <w:br w:type="page"/>
      </w:r>
    </w:p>
    <w:p w14:paraId="0BD9D8E1" w14:textId="77777777" w:rsidR="00076622" w:rsidRPr="00182A45" w:rsidRDefault="00076622" w:rsidP="00434E66">
      <w:pPr>
        <w:keepNext/>
        <w:numPr>
          <w:ilvl w:val="0"/>
          <w:numId w:val="22"/>
        </w:numPr>
        <w:ind w:left="567" w:hanging="567"/>
        <w:rPr>
          <w:b/>
        </w:rPr>
      </w:pPr>
      <w:r w:rsidRPr="00182A45">
        <w:rPr>
          <w:b/>
        </w:rPr>
        <w:t>PROCEDURA</w:t>
      </w:r>
    </w:p>
    <w:p w14:paraId="3F61E6E3" w14:textId="77777777" w:rsidR="00076622" w:rsidRPr="00182A45" w:rsidRDefault="00076622" w:rsidP="00434E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1"/>
        <w:gridCol w:w="5198"/>
      </w:tblGrid>
      <w:tr w:rsidR="00C07D0F" w:rsidRPr="00182A45" w14:paraId="30D328AF" w14:textId="77777777" w:rsidTr="00663089">
        <w:tc>
          <w:tcPr>
            <w:tcW w:w="4091" w:type="dxa"/>
          </w:tcPr>
          <w:p w14:paraId="29E36051" w14:textId="77777777" w:rsidR="00C07D0F" w:rsidRPr="00182A45" w:rsidRDefault="00C07D0F" w:rsidP="00434E66">
            <w:pPr>
              <w:rPr>
                <w:b/>
              </w:rPr>
            </w:pPr>
            <w:r w:rsidRPr="00182A45">
              <w:rPr>
                <w:b/>
              </w:rPr>
              <w:t>Tytuł</w:t>
            </w:r>
          </w:p>
          <w:p w14:paraId="12F2D2B4" w14:textId="77777777" w:rsidR="00C07D0F" w:rsidRPr="00182A45" w:rsidRDefault="00C07D0F" w:rsidP="00434E66"/>
        </w:tc>
        <w:tc>
          <w:tcPr>
            <w:tcW w:w="5198" w:type="dxa"/>
            <w:noWrap/>
          </w:tcPr>
          <w:p w14:paraId="0889FD9D" w14:textId="439D2107" w:rsidR="00C07D0F" w:rsidRPr="00182A45" w:rsidRDefault="00C07D0F">
            <w:r w:rsidRPr="00182A45">
              <w:t>Lokalny i regionalny wymiar biogospodarki oraz rola regionów i miast</w:t>
            </w:r>
          </w:p>
        </w:tc>
      </w:tr>
      <w:tr w:rsidR="00C07D0F" w:rsidRPr="00182A45" w14:paraId="0A95E327" w14:textId="77777777" w:rsidTr="00663089">
        <w:tc>
          <w:tcPr>
            <w:tcW w:w="4091" w:type="dxa"/>
          </w:tcPr>
          <w:p w14:paraId="2FCC8157" w14:textId="77777777" w:rsidR="00C07D0F" w:rsidRPr="00182A45" w:rsidRDefault="00C07D0F" w:rsidP="00434E66">
            <w:pPr>
              <w:rPr>
                <w:b/>
              </w:rPr>
            </w:pPr>
            <w:r w:rsidRPr="00182A45">
              <w:rPr>
                <w:b/>
              </w:rPr>
              <w:t>Dokument(y) źródłowy(-e)</w:t>
            </w:r>
          </w:p>
        </w:tc>
        <w:tc>
          <w:tcPr>
            <w:tcW w:w="5198" w:type="dxa"/>
            <w:noWrap/>
          </w:tcPr>
          <w:p w14:paraId="538AB02F" w14:textId="2A6FACED" w:rsidR="00C07D0F" w:rsidRPr="00182A45" w:rsidRDefault="00C07D0F" w:rsidP="00434E66"/>
        </w:tc>
      </w:tr>
      <w:tr w:rsidR="00C07D0F" w:rsidRPr="00182A45" w14:paraId="00F2BAB3" w14:textId="77777777" w:rsidTr="00663089">
        <w:tc>
          <w:tcPr>
            <w:tcW w:w="4091" w:type="dxa"/>
          </w:tcPr>
          <w:p w14:paraId="33380E1C" w14:textId="77777777" w:rsidR="00C07D0F" w:rsidRPr="00182A45" w:rsidRDefault="00C07D0F" w:rsidP="00434E66">
            <w:pPr>
              <w:rPr>
                <w:b/>
              </w:rPr>
            </w:pPr>
            <w:r w:rsidRPr="00182A45">
              <w:rPr>
                <w:b/>
              </w:rPr>
              <w:t>Podstawa prawna</w:t>
            </w:r>
          </w:p>
        </w:tc>
        <w:tc>
          <w:tcPr>
            <w:tcW w:w="5198" w:type="dxa"/>
            <w:noWrap/>
          </w:tcPr>
          <w:p w14:paraId="088211D5" w14:textId="1949D405" w:rsidR="00C07D0F" w:rsidRPr="00182A45" w:rsidRDefault="00C07D0F" w:rsidP="00434E66"/>
        </w:tc>
      </w:tr>
      <w:tr w:rsidR="00C07D0F" w:rsidRPr="00182A45" w14:paraId="606B9BFB" w14:textId="77777777" w:rsidTr="00663089">
        <w:tc>
          <w:tcPr>
            <w:tcW w:w="4091" w:type="dxa"/>
          </w:tcPr>
          <w:p w14:paraId="7AF11FD8" w14:textId="77777777" w:rsidR="00C07D0F" w:rsidRPr="00182A45" w:rsidRDefault="00C07D0F" w:rsidP="00434E66">
            <w:pPr>
              <w:rPr>
                <w:b/>
              </w:rPr>
            </w:pPr>
            <w:r w:rsidRPr="00182A45">
              <w:rPr>
                <w:b/>
              </w:rPr>
              <w:t>Tryb postępowania</w:t>
            </w:r>
          </w:p>
        </w:tc>
        <w:tc>
          <w:tcPr>
            <w:tcW w:w="5198" w:type="dxa"/>
            <w:noWrap/>
          </w:tcPr>
          <w:p w14:paraId="0F5F91DE" w14:textId="77777777" w:rsidR="00C07D0F" w:rsidRPr="00182A45" w:rsidRDefault="00C07D0F" w:rsidP="00434E66">
            <w:r w:rsidRPr="00182A45">
              <w:t>Opinia z inicjatywy własnej, art. 41 lit. b) ppkt (ii) RW</w:t>
            </w:r>
          </w:p>
        </w:tc>
      </w:tr>
      <w:tr w:rsidR="00C07D0F" w:rsidRPr="00182A45" w14:paraId="32FF5ACE" w14:textId="77777777" w:rsidTr="00663089">
        <w:tc>
          <w:tcPr>
            <w:tcW w:w="4091" w:type="dxa"/>
          </w:tcPr>
          <w:p w14:paraId="1B4BDE14" w14:textId="77777777" w:rsidR="00C07D0F" w:rsidRPr="00182A45" w:rsidRDefault="00C07D0F" w:rsidP="002D7181">
            <w:pPr>
              <w:rPr>
                <w:b/>
              </w:rPr>
            </w:pPr>
            <w:r w:rsidRPr="00182A45">
              <w:rPr>
                <w:b/>
              </w:rPr>
              <w:t>Data wniosku Rady/PE / Data pisma Komisji</w:t>
            </w:r>
          </w:p>
        </w:tc>
        <w:tc>
          <w:tcPr>
            <w:tcW w:w="5198" w:type="dxa"/>
            <w:noWrap/>
          </w:tcPr>
          <w:p w14:paraId="584A3C7D" w14:textId="77777777" w:rsidR="00C07D0F" w:rsidRPr="00182A45" w:rsidRDefault="00C07D0F" w:rsidP="00434E66"/>
        </w:tc>
      </w:tr>
      <w:tr w:rsidR="00C07D0F" w:rsidRPr="00182A45" w14:paraId="65413069" w14:textId="77777777" w:rsidTr="00663089">
        <w:tc>
          <w:tcPr>
            <w:tcW w:w="4091" w:type="dxa"/>
          </w:tcPr>
          <w:p w14:paraId="094B710C" w14:textId="77777777" w:rsidR="00C07D0F" w:rsidRPr="00182A45" w:rsidRDefault="00C07D0F" w:rsidP="00434E66">
            <w:pPr>
              <w:rPr>
                <w:b/>
              </w:rPr>
            </w:pPr>
            <w:r w:rsidRPr="00182A45">
              <w:rPr>
                <w:b/>
              </w:rPr>
              <w:t>Data decyzji Przewodniczącego/Prezydium</w:t>
            </w:r>
          </w:p>
        </w:tc>
        <w:tc>
          <w:tcPr>
            <w:tcW w:w="5198" w:type="dxa"/>
            <w:noWrap/>
          </w:tcPr>
          <w:p w14:paraId="2E3C9587" w14:textId="77777777" w:rsidR="00C07D0F" w:rsidRPr="00182A45" w:rsidRDefault="00C07D0F" w:rsidP="00434E66">
            <w:r w:rsidRPr="00182A45">
              <w:t>10 października 2016 r.</w:t>
            </w:r>
          </w:p>
        </w:tc>
      </w:tr>
      <w:tr w:rsidR="00C07D0F" w:rsidRPr="00182A45" w14:paraId="530EFA36" w14:textId="77777777" w:rsidTr="00663089">
        <w:tc>
          <w:tcPr>
            <w:tcW w:w="4091" w:type="dxa"/>
          </w:tcPr>
          <w:p w14:paraId="10EB1A38" w14:textId="77777777" w:rsidR="00C07D0F" w:rsidRPr="00182A45" w:rsidRDefault="00C07D0F" w:rsidP="00434E66">
            <w:pPr>
              <w:rPr>
                <w:b/>
              </w:rPr>
            </w:pPr>
            <w:r w:rsidRPr="00182A45">
              <w:rPr>
                <w:b/>
              </w:rPr>
              <w:t>Komisja odpowiedzialna</w:t>
            </w:r>
          </w:p>
        </w:tc>
        <w:tc>
          <w:tcPr>
            <w:tcW w:w="5198" w:type="dxa"/>
            <w:noWrap/>
          </w:tcPr>
          <w:p w14:paraId="2659834D" w14:textId="77777777" w:rsidR="00C07D0F" w:rsidRPr="00182A45" w:rsidRDefault="00C07D0F" w:rsidP="00434E66">
            <w:r w:rsidRPr="00182A45">
              <w:t>Komisja Polityki Społecznej, Edukacji, Zatrudnienia, Badań Naukowych i Kultury (SEDEC)</w:t>
            </w:r>
          </w:p>
        </w:tc>
      </w:tr>
      <w:tr w:rsidR="00C07D0F" w:rsidRPr="00182A45" w14:paraId="0878200C" w14:textId="77777777" w:rsidTr="00663089">
        <w:tc>
          <w:tcPr>
            <w:tcW w:w="4091" w:type="dxa"/>
          </w:tcPr>
          <w:p w14:paraId="00A1D046" w14:textId="77777777" w:rsidR="00C07D0F" w:rsidRPr="00182A45" w:rsidRDefault="00C07D0F" w:rsidP="00434E66">
            <w:pPr>
              <w:rPr>
                <w:b/>
              </w:rPr>
            </w:pPr>
            <w:r w:rsidRPr="00182A45">
              <w:rPr>
                <w:b/>
              </w:rPr>
              <w:t>Sprawozdawczyni</w:t>
            </w:r>
          </w:p>
        </w:tc>
        <w:tc>
          <w:tcPr>
            <w:tcW w:w="5198" w:type="dxa"/>
            <w:noWrap/>
          </w:tcPr>
          <w:p w14:paraId="5ABFBB0F" w14:textId="38525DE4" w:rsidR="00C07D0F" w:rsidRPr="00182A45" w:rsidRDefault="00C07D0F" w:rsidP="00434E66">
            <w:r w:rsidRPr="00182A45">
              <w:t>Katrin BUDDE (DE/PES)</w:t>
            </w:r>
          </w:p>
        </w:tc>
      </w:tr>
      <w:tr w:rsidR="00C07D0F" w:rsidRPr="00182A45" w14:paraId="1191CE99" w14:textId="77777777" w:rsidTr="00663089">
        <w:tc>
          <w:tcPr>
            <w:tcW w:w="4091" w:type="dxa"/>
          </w:tcPr>
          <w:p w14:paraId="03721307" w14:textId="77777777" w:rsidR="00C07D0F" w:rsidRPr="00182A45" w:rsidRDefault="00C07D0F" w:rsidP="00434E66">
            <w:pPr>
              <w:rPr>
                <w:b/>
              </w:rPr>
            </w:pPr>
            <w:r w:rsidRPr="00182A45">
              <w:rPr>
                <w:b/>
              </w:rPr>
              <w:t>Notatka analityczna</w:t>
            </w:r>
          </w:p>
        </w:tc>
        <w:tc>
          <w:tcPr>
            <w:tcW w:w="5198" w:type="dxa"/>
            <w:noWrap/>
          </w:tcPr>
          <w:p w14:paraId="4A509C87" w14:textId="77777777" w:rsidR="00C07D0F" w:rsidRPr="00182A45" w:rsidRDefault="00C07D0F" w:rsidP="00434E66">
            <w:r w:rsidRPr="00182A45">
              <w:t>Listopad 2016 r.</w:t>
            </w:r>
          </w:p>
        </w:tc>
      </w:tr>
      <w:tr w:rsidR="00C07D0F" w:rsidRPr="00182A45" w14:paraId="7A89E51E" w14:textId="77777777" w:rsidTr="00663089">
        <w:tc>
          <w:tcPr>
            <w:tcW w:w="4091" w:type="dxa"/>
          </w:tcPr>
          <w:p w14:paraId="21AF781C" w14:textId="77777777" w:rsidR="00C07D0F" w:rsidRPr="00182A45" w:rsidRDefault="00C07D0F" w:rsidP="00434E66">
            <w:pPr>
              <w:rPr>
                <w:b/>
              </w:rPr>
            </w:pPr>
            <w:r w:rsidRPr="00182A45">
              <w:rPr>
                <w:b/>
              </w:rPr>
              <w:t>Posiedzenie komisji</w:t>
            </w:r>
          </w:p>
        </w:tc>
        <w:tc>
          <w:tcPr>
            <w:tcW w:w="5198" w:type="dxa"/>
            <w:noWrap/>
          </w:tcPr>
          <w:p w14:paraId="639F8A4F" w14:textId="63253D44" w:rsidR="00C07D0F" w:rsidRPr="00182A45" w:rsidRDefault="00C07D0F" w:rsidP="00434E66">
            <w:r w:rsidRPr="00182A45">
              <w:t>31 marca 2017 r.</w:t>
            </w:r>
          </w:p>
        </w:tc>
      </w:tr>
      <w:tr w:rsidR="00C07D0F" w:rsidRPr="00182A45" w14:paraId="1905DA96" w14:textId="77777777" w:rsidTr="00663089">
        <w:tc>
          <w:tcPr>
            <w:tcW w:w="4091" w:type="dxa"/>
          </w:tcPr>
          <w:p w14:paraId="1727A9BC" w14:textId="77777777" w:rsidR="00C07D0F" w:rsidRPr="00182A45" w:rsidRDefault="00C07D0F" w:rsidP="00434E66">
            <w:pPr>
              <w:rPr>
                <w:b/>
              </w:rPr>
            </w:pPr>
            <w:r w:rsidRPr="00182A45">
              <w:rPr>
                <w:b/>
              </w:rPr>
              <w:t>Data przyjęcia przez komisję</w:t>
            </w:r>
          </w:p>
        </w:tc>
        <w:tc>
          <w:tcPr>
            <w:tcW w:w="5198" w:type="dxa"/>
            <w:noWrap/>
          </w:tcPr>
          <w:p w14:paraId="67A7521C" w14:textId="3C5B3274" w:rsidR="00C07D0F" w:rsidRPr="00182A45" w:rsidRDefault="00C07D0F" w:rsidP="00434E66">
            <w:r w:rsidRPr="00182A45">
              <w:t>31 marca 2017 r.</w:t>
            </w:r>
          </w:p>
        </w:tc>
      </w:tr>
      <w:tr w:rsidR="00C07D0F" w:rsidRPr="00182A45" w14:paraId="3424DE07" w14:textId="77777777" w:rsidTr="00663089">
        <w:tc>
          <w:tcPr>
            <w:tcW w:w="4091" w:type="dxa"/>
          </w:tcPr>
          <w:p w14:paraId="109F5AE0" w14:textId="00B9176A" w:rsidR="00C07D0F" w:rsidRPr="00182A45" w:rsidRDefault="00C07D0F">
            <w:pPr>
              <w:rPr>
                <w:b/>
              </w:rPr>
            </w:pPr>
            <w:r w:rsidRPr="00182A45">
              <w:rPr>
                <w:b/>
              </w:rPr>
              <w:t>Wynik głosowania komisji (większość, jednomyślność)</w:t>
            </w:r>
          </w:p>
        </w:tc>
        <w:tc>
          <w:tcPr>
            <w:tcW w:w="5198" w:type="dxa"/>
            <w:noWrap/>
          </w:tcPr>
          <w:p w14:paraId="4C6E078F" w14:textId="4EC3D805" w:rsidR="00C07D0F" w:rsidRPr="00182A45" w:rsidRDefault="008955D0" w:rsidP="002D7181">
            <w:r w:rsidRPr="00182A45">
              <w:t xml:space="preserve">Większość </w:t>
            </w:r>
          </w:p>
        </w:tc>
      </w:tr>
      <w:tr w:rsidR="00C07D0F" w:rsidRPr="00182A45" w14:paraId="42C827F6" w14:textId="77777777" w:rsidTr="00663089">
        <w:tc>
          <w:tcPr>
            <w:tcW w:w="4091" w:type="dxa"/>
          </w:tcPr>
          <w:p w14:paraId="05668DA9" w14:textId="77777777" w:rsidR="00C07D0F" w:rsidRPr="00182A45" w:rsidRDefault="00C07D0F" w:rsidP="00434E66">
            <w:pPr>
              <w:rPr>
                <w:b/>
              </w:rPr>
            </w:pPr>
            <w:r w:rsidRPr="00182A45">
              <w:rPr>
                <w:b/>
              </w:rPr>
              <w:t>Data przyjęcia na sesji plenarnej</w:t>
            </w:r>
          </w:p>
        </w:tc>
        <w:tc>
          <w:tcPr>
            <w:tcW w:w="5198" w:type="dxa"/>
            <w:noWrap/>
          </w:tcPr>
          <w:p w14:paraId="4A553B13" w14:textId="2E7DFEFB" w:rsidR="00C07D0F" w:rsidRPr="00182A45" w:rsidRDefault="00C07D0F">
            <w:r w:rsidRPr="00182A45">
              <w:t>11 maja 2017 r.</w:t>
            </w:r>
          </w:p>
        </w:tc>
      </w:tr>
      <w:tr w:rsidR="00C07D0F" w:rsidRPr="00182A45" w14:paraId="47CA5524" w14:textId="77777777" w:rsidTr="00663089">
        <w:tc>
          <w:tcPr>
            <w:tcW w:w="4091" w:type="dxa"/>
          </w:tcPr>
          <w:p w14:paraId="13B1DCF7" w14:textId="77777777" w:rsidR="00C07D0F" w:rsidRPr="00182A45" w:rsidRDefault="00C07D0F" w:rsidP="00434E66">
            <w:pPr>
              <w:rPr>
                <w:b/>
              </w:rPr>
            </w:pPr>
            <w:r w:rsidRPr="00182A45">
              <w:rPr>
                <w:b/>
              </w:rPr>
              <w:t>Wcześniejsze opinie Komitetu</w:t>
            </w:r>
          </w:p>
        </w:tc>
        <w:tc>
          <w:tcPr>
            <w:tcW w:w="5198" w:type="dxa"/>
            <w:noWrap/>
          </w:tcPr>
          <w:p w14:paraId="2976A5FB" w14:textId="1384FF46" w:rsidR="00C07D0F" w:rsidRPr="00182A45" w:rsidRDefault="00C07D0F">
            <w:r w:rsidRPr="00182A45">
              <w:t>Innowacje w służbie zrównoważonego wzrostu: biogospodarka dla Europy, CDR1112-2012_00_00_TRA_AC, sprawozdawca: Rogier van der Sande (NL/ALDE)</w:t>
            </w:r>
          </w:p>
        </w:tc>
      </w:tr>
      <w:tr w:rsidR="00C07D0F" w:rsidRPr="00182A45" w14:paraId="2439009F" w14:textId="77777777" w:rsidTr="00663089">
        <w:tc>
          <w:tcPr>
            <w:tcW w:w="4091" w:type="dxa"/>
          </w:tcPr>
          <w:p w14:paraId="38312071" w14:textId="77777777" w:rsidR="00C07D0F" w:rsidRPr="00182A45" w:rsidRDefault="00C07D0F" w:rsidP="002D7181">
            <w:pPr>
              <w:rPr>
                <w:b/>
              </w:rPr>
            </w:pPr>
            <w:r w:rsidRPr="00182A45">
              <w:rPr>
                <w:b/>
              </w:rPr>
              <w:t>Data konsultacji z Siecią Monitorującą Stosowanie Zasady Pomocniczości</w:t>
            </w:r>
          </w:p>
        </w:tc>
        <w:tc>
          <w:tcPr>
            <w:tcW w:w="5198" w:type="dxa"/>
            <w:noWrap/>
          </w:tcPr>
          <w:p w14:paraId="4FB66B23" w14:textId="77777777" w:rsidR="00C07D0F" w:rsidRPr="00182A45" w:rsidRDefault="00C07D0F" w:rsidP="00434E66"/>
        </w:tc>
      </w:tr>
    </w:tbl>
    <w:p w14:paraId="39D9A49C" w14:textId="77777777" w:rsidR="00076622" w:rsidRPr="00182A45" w:rsidRDefault="00076622" w:rsidP="00434E66"/>
    <w:p w14:paraId="6D8CCE22" w14:textId="77777777" w:rsidR="00076622" w:rsidRPr="00182A45" w:rsidRDefault="00076622" w:rsidP="00434E66">
      <w:pPr>
        <w:jc w:val="center"/>
      </w:pPr>
      <w:r w:rsidRPr="00182A45">
        <w:t>_____________</w:t>
      </w:r>
    </w:p>
    <w:p w14:paraId="4DCCE9E8" w14:textId="77777777" w:rsidR="00076622" w:rsidRPr="00182A45" w:rsidRDefault="00076622" w:rsidP="002A4168"/>
    <w:sectPr w:rsidR="00076622" w:rsidRPr="00182A45" w:rsidSect="0003379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1417" w:right="1417" w:bottom="1417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65652" w14:textId="77777777" w:rsidR="000C17D0" w:rsidRDefault="000C17D0">
      <w:r>
        <w:separator/>
      </w:r>
    </w:p>
  </w:endnote>
  <w:endnote w:type="continuationSeparator" w:id="0">
    <w:p w14:paraId="4EA02902" w14:textId="77777777" w:rsidR="000C17D0" w:rsidRDefault="000C17D0">
      <w:r>
        <w:continuationSeparator/>
      </w:r>
    </w:p>
  </w:endnote>
  <w:endnote w:type="continuationNotice" w:id="1">
    <w:p w14:paraId="754A578F" w14:textId="77777777" w:rsidR="000C17D0" w:rsidRDefault="000C17D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C7466" w14:textId="55F296B5" w:rsidR="00076622" w:rsidRPr="0003379D" w:rsidRDefault="0003379D" w:rsidP="0003379D">
    <w:pPr>
      <w:pStyle w:val="Footer"/>
    </w:pPr>
    <w:r>
      <w:t xml:space="preserve">COR-2017-00044-00-01-AC-TRA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182A45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182A45">
      <w:fldChar w:fldCharType="begin"/>
    </w:r>
    <w:r w:rsidR="00182A45">
      <w:instrText xml:space="preserve"> NUMPAGES </w:instrText>
    </w:r>
    <w:r w:rsidR="00182A45">
      <w:fldChar w:fldCharType="separate"/>
    </w:r>
    <w:r w:rsidR="00182A45">
      <w:rPr>
        <w:noProof/>
      </w:rPr>
      <w:instrText>3</w:instrText>
    </w:r>
    <w:r w:rsidR="00182A45">
      <w:rPr>
        <w:noProof/>
      </w:rPr>
      <w:fldChar w:fldCharType="end"/>
    </w:r>
    <w:r>
      <w:instrText xml:space="preserve"> </w:instrText>
    </w:r>
    <w:r>
      <w:fldChar w:fldCharType="separate"/>
    </w:r>
    <w:r w:rsidR="00182A45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1400B" w14:textId="77777777" w:rsidR="00E065D6" w:rsidRPr="0003379D" w:rsidRDefault="00E065D6" w:rsidP="000337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D62F0" w14:textId="55FB2A23" w:rsidR="00E065D6" w:rsidRPr="0003379D" w:rsidRDefault="0003379D" w:rsidP="0003379D">
    <w:pPr>
      <w:pStyle w:val="Footer"/>
    </w:pPr>
    <w:r>
      <w:t xml:space="preserve">COR-2017-00044-00-01-AC-TRA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182A45">
      <w:rPr>
        <w:noProof/>
      </w:rPr>
      <w:t>3</w:t>
    </w:r>
    <w:r>
      <w:fldChar w:fldCharType="end"/>
    </w:r>
    <w:r>
      <w:t>/</w:t>
    </w:r>
    <w:r>
      <w:fldChar w:fldCharType="begin"/>
    </w:r>
    <w:r>
      <w:instrText xml:space="preserve"> = </w:instrText>
    </w:r>
    <w:r w:rsidR="00182A45">
      <w:fldChar w:fldCharType="begin"/>
    </w:r>
    <w:r w:rsidR="00182A45">
      <w:instrText xml:space="preserve"> NUMPAGES </w:instrText>
    </w:r>
    <w:r w:rsidR="00182A45">
      <w:fldChar w:fldCharType="separate"/>
    </w:r>
    <w:r w:rsidR="00182A45">
      <w:rPr>
        <w:noProof/>
      </w:rPr>
      <w:instrText>3</w:instrText>
    </w:r>
    <w:r w:rsidR="00182A45">
      <w:rPr>
        <w:noProof/>
      </w:rPr>
      <w:fldChar w:fldCharType="end"/>
    </w:r>
    <w:r>
      <w:instrText xml:space="preserve"> </w:instrText>
    </w:r>
    <w:r>
      <w:fldChar w:fldCharType="separate"/>
    </w:r>
    <w:r w:rsidR="00182A45">
      <w:rPr>
        <w:noProof/>
      </w:rPr>
      <w:t>3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30886" w14:textId="77777777" w:rsidR="00E065D6" w:rsidRPr="0003379D" w:rsidRDefault="00E065D6" w:rsidP="000337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555BB" w14:textId="77777777" w:rsidR="000C17D0" w:rsidRDefault="000C17D0">
      <w:r>
        <w:separator/>
      </w:r>
    </w:p>
  </w:footnote>
  <w:footnote w:type="continuationSeparator" w:id="0">
    <w:p w14:paraId="7060F1F6" w14:textId="77777777" w:rsidR="000C17D0" w:rsidRDefault="000C17D0">
      <w:r>
        <w:continuationSeparator/>
      </w:r>
    </w:p>
  </w:footnote>
  <w:footnote w:type="continuationNotice" w:id="1">
    <w:p w14:paraId="7C2FF8B7" w14:textId="77777777" w:rsidR="000C17D0" w:rsidRDefault="000C17D0">
      <w:pPr>
        <w:spacing w:line="240" w:lineRule="auto"/>
      </w:pPr>
    </w:p>
  </w:footnote>
  <w:footnote w:id="2">
    <w:p w14:paraId="2B0AED43" w14:textId="518F8CE8" w:rsidR="00C334C8" w:rsidRPr="002D7181" w:rsidRDefault="00C334C8" w:rsidP="00070CD5">
      <w:pPr>
        <w:tabs>
          <w:tab w:val="left" w:pos="567"/>
        </w:tabs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1">
        <w:r>
          <w:rPr>
            <w:color w:val="0000FF" w:themeColor="hyperlink"/>
            <w:sz w:val="16"/>
            <w:u w:val="single"/>
          </w:rPr>
          <w:t>https://media.wix.com/ugd/32bd65_afadb83292a0452fa58289575d1e5eaf.pdf.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AD454" w14:textId="77777777" w:rsidR="00E065D6" w:rsidRPr="0003379D" w:rsidRDefault="00E065D6" w:rsidP="000337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CC4CD" w14:textId="1EDC3CCE" w:rsidR="00E065D6" w:rsidRPr="0003379D" w:rsidRDefault="00E065D6" w:rsidP="000337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A0F3A" w14:textId="77777777" w:rsidR="00E065D6" w:rsidRPr="0003379D" w:rsidRDefault="00E065D6" w:rsidP="000337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02B112E"/>
    <w:multiLevelType w:val="hybridMultilevel"/>
    <w:tmpl w:val="9CF4A652"/>
    <w:lvl w:ilvl="0" w:tplc="FFFFFFFF">
      <w:start w:val="1"/>
      <w:numFmt w:val="bullet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color w:val="auto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12920F0"/>
    <w:multiLevelType w:val="hybridMultilevel"/>
    <w:tmpl w:val="989E5C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02583"/>
    <w:multiLevelType w:val="hybridMultilevel"/>
    <w:tmpl w:val="E77034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84ADF"/>
    <w:multiLevelType w:val="multi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FC47DE7"/>
    <w:multiLevelType w:val="multi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E6D0241"/>
    <w:multiLevelType w:val="multilevel"/>
    <w:tmpl w:val="962A50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27A633E4"/>
    <w:multiLevelType w:val="hybridMultilevel"/>
    <w:tmpl w:val="BE4616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26D11"/>
    <w:multiLevelType w:val="hybridMultilevel"/>
    <w:tmpl w:val="E8CC7A60"/>
    <w:lvl w:ilvl="0" w:tplc="1D2C998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540EFE3C">
      <w:start w:val="1"/>
      <w:numFmt w:val="bullet"/>
      <w:lvlRestart w:val="0"/>
      <w:lvlText w:val=""/>
      <w:lvlJc w:val="left"/>
      <w:pPr>
        <w:tabs>
          <w:tab w:val="num" w:pos="1080"/>
        </w:tabs>
        <w:ind w:left="1449" w:hanging="369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A50496"/>
    <w:multiLevelType w:val="hybridMultilevel"/>
    <w:tmpl w:val="554A74F8"/>
    <w:lvl w:ilvl="0" w:tplc="A78E79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475B5"/>
    <w:multiLevelType w:val="multilevel"/>
    <w:tmpl w:val="962A50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36E07E9E"/>
    <w:multiLevelType w:val="multilevel"/>
    <w:tmpl w:val="9162F03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AC56566"/>
    <w:multiLevelType w:val="hybridMultilevel"/>
    <w:tmpl w:val="A50C39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13">
    <w:nsid w:val="3E7D78EF"/>
    <w:multiLevelType w:val="hybridMultilevel"/>
    <w:tmpl w:val="51AA6D0A"/>
    <w:lvl w:ilvl="0" w:tplc="2396910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9BDE0DC2">
      <w:start w:val="1"/>
      <w:numFmt w:val="bullet"/>
      <w:lvlRestart w:val="0"/>
      <w:lvlText w:val=""/>
      <w:lvlJc w:val="left"/>
      <w:pPr>
        <w:tabs>
          <w:tab w:val="num" w:pos="1080"/>
        </w:tabs>
        <w:ind w:left="1449" w:hanging="369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357B7A"/>
    <w:multiLevelType w:val="hybridMultilevel"/>
    <w:tmpl w:val="51AA6D0A"/>
    <w:lvl w:ilvl="0" w:tplc="8BFAA16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9BDE0DC2">
      <w:start w:val="1"/>
      <w:numFmt w:val="bullet"/>
      <w:lvlRestart w:val="0"/>
      <w:lvlText w:val=""/>
      <w:lvlJc w:val="left"/>
      <w:pPr>
        <w:tabs>
          <w:tab w:val="num" w:pos="1080"/>
        </w:tabs>
        <w:ind w:left="1449" w:hanging="369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0F18BA"/>
    <w:multiLevelType w:val="multilevel"/>
    <w:tmpl w:val="962A50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46491A3E"/>
    <w:multiLevelType w:val="hybridMultilevel"/>
    <w:tmpl w:val="06D808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80141"/>
    <w:multiLevelType w:val="multi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A3C1B31"/>
    <w:multiLevelType w:val="hybridMultilevel"/>
    <w:tmpl w:val="B0E0F918"/>
    <w:lvl w:ilvl="0" w:tplc="361066F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06C4A"/>
    <w:multiLevelType w:val="multi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6216FAC"/>
    <w:multiLevelType w:val="hybridMultilevel"/>
    <w:tmpl w:val="C79E9634"/>
    <w:lvl w:ilvl="0" w:tplc="C2E66E6E">
      <w:start w:val="1"/>
      <w:numFmt w:val="bullet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75479B9"/>
    <w:multiLevelType w:val="multilevel"/>
    <w:tmpl w:val="1842F66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593E70B6"/>
    <w:multiLevelType w:val="hybridMultilevel"/>
    <w:tmpl w:val="01C8A6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9E20D74"/>
    <w:multiLevelType w:val="hybridMultilevel"/>
    <w:tmpl w:val="B1CA226C"/>
    <w:lvl w:ilvl="0" w:tplc="FFFFFFFF">
      <w:start w:val="1"/>
      <w:numFmt w:val="bullet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color w:val="auto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A443096"/>
    <w:multiLevelType w:val="hybridMultilevel"/>
    <w:tmpl w:val="71787CA6"/>
    <w:lvl w:ilvl="0" w:tplc="328A495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B9F3089"/>
    <w:multiLevelType w:val="hybridMultilevel"/>
    <w:tmpl w:val="51743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206028"/>
    <w:multiLevelType w:val="multi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569403B"/>
    <w:multiLevelType w:val="multilevel"/>
    <w:tmpl w:val="962A50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66D67E2C"/>
    <w:multiLevelType w:val="hybridMultilevel"/>
    <w:tmpl w:val="1EE6C67A"/>
    <w:lvl w:ilvl="0" w:tplc="83447096">
      <w:start w:val="1"/>
      <w:numFmt w:val="upperRoman"/>
      <w:lvlText w:val="%1.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20B5B"/>
    <w:multiLevelType w:val="hybridMultilevel"/>
    <w:tmpl w:val="9BD8524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063133"/>
    <w:multiLevelType w:val="hybridMultilevel"/>
    <w:tmpl w:val="37BA42EA"/>
    <w:lvl w:ilvl="0" w:tplc="FFFFFFFF">
      <w:start w:val="1"/>
      <w:numFmt w:val="bullet"/>
      <w:lvlText w:val="–"/>
      <w:lvlJc w:val="left"/>
      <w:pPr>
        <w:tabs>
          <w:tab w:val="num" w:pos="1089"/>
        </w:tabs>
        <w:ind w:left="1089" w:hanging="369"/>
      </w:pPr>
      <w:rPr>
        <w:rFonts w:ascii="Times New Roman" w:hAnsi="Times New Roman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31">
    <w:nsid w:val="766E2413"/>
    <w:multiLevelType w:val="multilevel"/>
    <w:tmpl w:val="FDA4108C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%2.%3.%4"/>
      <w:lvlJc w:val="left"/>
      <w:pPr>
        <w:tabs>
          <w:tab w:val="num" w:pos="1080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30"/>
  </w:num>
  <w:num w:numId="4">
    <w:abstractNumId w:val="22"/>
  </w:num>
  <w:num w:numId="5">
    <w:abstractNumId w:val="6"/>
  </w:num>
  <w:num w:numId="6">
    <w:abstractNumId w:val="11"/>
  </w:num>
  <w:num w:numId="7">
    <w:abstractNumId w:val="5"/>
  </w:num>
  <w:num w:numId="8">
    <w:abstractNumId w:val="31"/>
  </w:num>
  <w:num w:numId="9">
    <w:abstractNumId w:val="17"/>
  </w:num>
  <w:num w:numId="10">
    <w:abstractNumId w:val="19"/>
  </w:num>
  <w:num w:numId="11">
    <w:abstractNumId w:val="27"/>
  </w:num>
  <w:num w:numId="12">
    <w:abstractNumId w:val="21"/>
  </w:num>
  <w:num w:numId="13">
    <w:abstractNumId w:val="26"/>
  </w:num>
  <w:num w:numId="14">
    <w:abstractNumId w:val="4"/>
  </w:num>
  <w:num w:numId="15">
    <w:abstractNumId w:val="23"/>
  </w:num>
  <w:num w:numId="16">
    <w:abstractNumId w:val="1"/>
  </w:num>
  <w:num w:numId="17">
    <w:abstractNumId w:val="6"/>
  </w:num>
  <w:num w:numId="18">
    <w:abstractNumId w:val="10"/>
  </w:num>
  <w:num w:numId="19">
    <w:abstractNumId w:val="20"/>
  </w:num>
  <w:num w:numId="20">
    <w:abstractNumId w:val="24"/>
  </w:num>
  <w:num w:numId="21">
    <w:abstractNumId w:val="8"/>
  </w:num>
  <w:num w:numId="22">
    <w:abstractNumId w:val="28"/>
  </w:num>
  <w:num w:numId="23">
    <w:abstractNumId w:val="9"/>
  </w:num>
  <w:num w:numId="24">
    <w:abstractNumId w:val="7"/>
  </w:num>
  <w:num w:numId="25">
    <w:abstractNumId w:val="2"/>
  </w:num>
  <w:num w:numId="26">
    <w:abstractNumId w:val="3"/>
  </w:num>
  <w:num w:numId="27">
    <w:abstractNumId w:val="16"/>
  </w:num>
  <w:num w:numId="28">
    <w:abstractNumId w:val="29"/>
  </w:num>
  <w:num w:numId="29">
    <w:abstractNumId w:val="18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  <w:num w:numId="51">
    <w:abstractNumId w:val="0"/>
  </w:num>
  <w:num w:numId="52">
    <w:abstractNumId w:val="0"/>
  </w:num>
  <w:num w:numId="53">
    <w:abstractNumId w:val="0"/>
  </w:num>
  <w:num w:numId="54">
    <w:abstractNumId w:val="0"/>
  </w:num>
  <w:num w:numId="55">
    <w:abstractNumId w:val="0"/>
  </w:num>
  <w:num w:numId="56">
    <w:abstractNumId w:val="0"/>
  </w:num>
  <w:num w:numId="57">
    <w:abstractNumId w:val="0"/>
  </w:num>
  <w:num w:numId="58">
    <w:abstractNumId w:val="0"/>
  </w:num>
  <w:num w:numId="59">
    <w:abstractNumId w:val="0"/>
  </w:num>
  <w:num w:numId="60">
    <w:abstractNumId w:val="0"/>
  </w:num>
  <w:num w:numId="61">
    <w:abstractNumId w:val="0"/>
  </w:num>
  <w:num w:numId="62">
    <w:abstractNumId w:val="0"/>
  </w:num>
  <w:num w:numId="63">
    <w:abstractNumId w:val="0"/>
  </w:num>
  <w:num w:numId="64">
    <w:abstractNumId w:val="0"/>
  </w:num>
  <w:num w:numId="65">
    <w:abstractNumId w:val="0"/>
  </w:num>
  <w:num w:numId="66">
    <w:abstractNumId w:val="0"/>
  </w:num>
  <w:num w:numId="67">
    <w:abstractNumId w:val="0"/>
  </w:num>
  <w:num w:numId="68">
    <w:abstractNumId w:val="0"/>
  </w:num>
  <w:num w:numId="69">
    <w:abstractNumId w:val="0"/>
  </w:num>
  <w:num w:numId="70">
    <w:abstractNumId w:val="0"/>
  </w:num>
  <w:num w:numId="71">
    <w:abstractNumId w:val="0"/>
  </w:num>
  <w:num w:numId="72">
    <w:abstractNumId w:val="0"/>
  </w:num>
  <w:num w:numId="73">
    <w:abstractNumId w:val="0"/>
  </w:num>
  <w:num w:numId="74">
    <w:abstractNumId w:val="0"/>
  </w:num>
  <w:num w:numId="75">
    <w:abstractNumId w:val="0"/>
  </w:num>
  <w:num w:numId="76">
    <w:abstractNumId w:val="0"/>
  </w:num>
  <w:num w:numId="77">
    <w:abstractNumId w:val="13"/>
  </w:num>
  <w:num w:numId="78">
    <w:abstractNumId w:val="14"/>
  </w:num>
  <w:num w:numId="79">
    <w:abstractNumId w:val="25"/>
  </w:num>
  <w:numIdMacAtCleanup w:val="7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omas Wobben">
    <w15:presenceInfo w15:providerId="Windows Live" w15:userId="c771c37ec77984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357"/>
  <w:doNotHyphenateCaps/>
  <w:drawingGridHorizontalSpacing w:val="110"/>
  <w:drawingGridVerticalSpacing w:val="299"/>
  <w:displayHorizontalDrawingGridEvery w:val="2"/>
  <w:displayVerticalDrawingGridEvery w:val="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79"/>
    <w:rsid w:val="000124FF"/>
    <w:rsid w:val="00020812"/>
    <w:rsid w:val="00020CC6"/>
    <w:rsid w:val="000216BC"/>
    <w:rsid w:val="00021D3A"/>
    <w:rsid w:val="00030D88"/>
    <w:rsid w:val="0003379D"/>
    <w:rsid w:val="00036719"/>
    <w:rsid w:val="00036C34"/>
    <w:rsid w:val="00046EFC"/>
    <w:rsid w:val="00052419"/>
    <w:rsid w:val="000572BE"/>
    <w:rsid w:val="0006155E"/>
    <w:rsid w:val="00064678"/>
    <w:rsid w:val="00070CD5"/>
    <w:rsid w:val="00073287"/>
    <w:rsid w:val="00075D40"/>
    <w:rsid w:val="00076622"/>
    <w:rsid w:val="000826E1"/>
    <w:rsid w:val="00082A83"/>
    <w:rsid w:val="00091698"/>
    <w:rsid w:val="000918AC"/>
    <w:rsid w:val="00093460"/>
    <w:rsid w:val="00096FD1"/>
    <w:rsid w:val="000A385A"/>
    <w:rsid w:val="000A48B6"/>
    <w:rsid w:val="000A60EB"/>
    <w:rsid w:val="000C0FAC"/>
    <w:rsid w:val="000C17D0"/>
    <w:rsid w:val="000D2F1F"/>
    <w:rsid w:val="000D4F2C"/>
    <w:rsid w:val="000E673C"/>
    <w:rsid w:val="000F143E"/>
    <w:rsid w:val="000F2E25"/>
    <w:rsid w:val="0010005E"/>
    <w:rsid w:val="0010600D"/>
    <w:rsid w:val="00107616"/>
    <w:rsid w:val="00117967"/>
    <w:rsid w:val="00122197"/>
    <w:rsid w:val="0012362F"/>
    <w:rsid w:val="00123ED0"/>
    <w:rsid w:val="00135E7A"/>
    <w:rsid w:val="00150E70"/>
    <w:rsid w:val="0015581E"/>
    <w:rsid w:val="00157CE5"/>
    <w:rsid w:val="00162BA5"/>
    <w:rsid w:val="001634A8"/>
    <w:rsid w:val="0018022B"/>
    <w:rsid w:val="00181B77"/>
    <w:rsid w:val="00182A45"/>
    <w:rsid w:val="001866BF"/>
    <w:rsid w:val="00192908"/>
    <w:rsid w:val="001A0904"/>
    <w:rsid w:val="001A3185"/>
    <w:rsid w:val="001A5587"/>
    <w:rsid w:val="001A702A"/>
    <w:rsid w:val="001B1460"/>
    <w:rsid w:val="001B56EF"/>
    <w:rsid w:val="001B6B67"/>
    <w:rsid w:val="001C6970"/>
    <w:rsid w:val="001C7352"/>
    <w:rsid w:val="001D37BA"/>
    <w:rsid w:val="001E0492"/>
    <w:rsid w:val="001E2833"/>
    <w:rsid w:val="00203EEA"/>
    <w:rsid w:val="002102E2"/>
    <w:rsid w:val="00212F0A"/>
    <w:rsid w:val="002135C9"/>
    <w:rsid w:val="00214578"/>
    <w:rsid w:val="00221824"/>
    <w:rsid w:val="00222752"/>
    <w:rsid w:val="00235B2E"/>
    <w:rsid w:val="00236377"/>
    <w:rsid w:val="00242D1C"/>
    <w:rsid w:val="00247A41"/>
    <w:rsid w:val="002757D5"/>
    <w:rsid w:val="0027724A"/>
    <w:rsid w:val="00277374"/>
    <w:rsid w:val="002812A8"/>
    <w:rsid w:val="00281CB6"/>
    <w:rsid w:val="0028226A"/>
    <w:rsid w:val="00282974"/>
    <w:rsid w:val="002928FB"/>
    <w:rsid w:val="00294E07"/>
    <w:rsid w:val="00295D17"/>
    <w:rsid w:val="00296250"/>
    <w:rsid w:val="002A0EDC"/>
    <w:rsid w:val="002A4168"/>
    <w:rsid w:val="002B0ADE"/>
    <w:rsid w:val="002B27A5"/>
    <w:rsid w:val="002C329C"/>
    <w:rsid w:val="002D23A9"/>
    <w:rsid w:val="002D3208"/>
    <w:rsid w:val="002D7181"/>
    <w:rsid w:val="002E2442"/>
    <w:rsid w:val="002F6582"/>
    <w:rsid w:val="00311B6C"/>
    <w:rsid w:val="0031298C"/>
    <w:rsid w:val="00315926"/>
    <w:rsid w:val="00316F62"/>
    <w:rsid w:val="00331082"/>
    <w:rsid w:val="0033429B"/>
    <w:rsid w:val="0034174D"/>
    <w:rsid w:val="003459A7"/>
    <w:rsid w:val="00355527"/>
    <w:rsid w:val="00357708"/>
    <w:rsid w:val="003638F6"/>
    <w:rsid w:val="003723C6"/>
    <w:rsid w:val="0038065A"/>
    <w:rsid w:val="00381170"/>
    <w:rsid w:val="0038155B"/>
    <w:rsid w:val="003817AC"/>
    <w:rsid w:val="003867A4"/>
    <w:rsid w:val="00387803"/>
    <w:rsid w:val="00393093"/>
    <w:rsid w:val="003B29AC"/>
    <w:rsid w:val="003B5876"/>
    <w:rsid w:val="003E1546"/>
    <w:rsid w:val="003E36CE"/>
    <w:rsid w:val="003E6253"/>
    <w:rsid w:val="003E6754"/>
    <w:rsid w:val="003F35BF"/>
    <w:rsid w:val="003F4D33"/>
    <w:rsid w:val="0040240A"/>
    <w:rsid w:val="00406D5B"/>
    <w:rsid w:val="004100F5"/>
    <w:rsid w:val="004268BF"/>
    <w:rsid w:val="0042729B"/>
    <w:rsid w:val="004315B5"/>
    <w:rsid w:val="00434E66"/>
    <w:rsid w:val="00435F24"/>
    <w:rsid w:val="0044047C"/>
    <w:rsid w:val="004472E0"/>
    <w:rsid w:val="004552CF"/>
    <w:rsid w:val="00457290"/>
    <w:rsid w:val="00461482"/>
    <w:rsid w:val="00475268"/>
    <w:rsid w:val="004936ED"/>
    <w:rsid w:val="00494401"/>
    <w:rsid w:val="00495AAA"/>
    <w:rsid w:val="004A3857"/>
    <w:rsid w:val="004A5E3D"/>
    <w:rsid w:val="004A6E89"/>
    <w:rsid w:val="004B022E"/>
    <w:rsid w:val="004C6441"/>
    <w:rsid w:val="004C7FAD"/>
    <w:rsid w:val="004D0F4C"/>
    <w:rsid w:val="004E04E0"/>
    <w:rsid w:val="004E21DE"/>
    <w:rsid w:val="00503779"/>
    <w:rsid w:val="00503B1B"/>
    <w:rsid w:val="00505FCC"/>
    <w:rsid w:val="005167BD"/>
    <w:rsid w:val="005174CF"/>
    <w:rsid w:val="00521F4D"/>
    <w:rsid w:val="005318F4"/>
    <w:rsid w:val="00533EC4"/>
    <w:rsid w:val="005368DB"/>
    <w:rsid w:val="005400A3"/>
    <w:rsid w:val="00542D02"/>
    <w:rsid w:val="005460A6"/>
    <w:rsid w:val="00551FBE"/>
    <w:rsid w:val="00552452"/>
    <w:rsid w:val="005547B7"/>
    <w:rsid w:val="0055529C"/>
    <w:rsid w:val="00557220"/>
    <w:rsid w:val="00560432"/>
    <w:rsid w:val="00562F15"/>
    <w:rsid w:val="00563EF1"/>
    <w:rsid w:val="005664DE"/>
    <w:rsid w:val="00567EF1"/>
    <w:rsid w:val="00577CE9"/>
    <w:rsid w:val="005A2B92"/>
    <w:rsid w:val="005A722E"/>
    <w:rsid w:val="005B3A56"/>
    <w:rsid w:val="005D33C2"/>
    <w:rsid w:val="005E27D2"/>
    <w:rsid w:val="005E78A4"/>
    <w:rsid w:val="005F23BF"/>
    <w:rsid w:val="005F39D1"/>
    <w:rsid w:val="00602930"/>
    <w:rsid w:val="006050A9"/>
    <w:rsid w:val="00606B5A"/>
    <w:rsid w:val="00614B6C"/>
    <w:rsid w:val="00615D30"/>
    <w:rsid w:val="00616AC6"/>
    <w:rsid w:val="0062113B"/>
    <w:rsid w:val="006250C5"/>
    <w:rsid w:val="00631BE5"/>
    <w:rsid w:val="00636454"/>
    <w:rsid w:val="00640218"/>
    <w:rsid w:val="006418EF"/>
    <w:rsid w:val="00642923"/>
    <w:rsid w:val="00644407"/>
    <w:rsid w:val="006475AB"/>
    <w:rsid w:val="006524A4"/>
    <w:rsid w:val="00653337"/>
    <w:rsid w:val="00654A50"/>
    <w:rsid w:val="006558D8"/>
    <w:rsid w:val="006606B0"/>
    <w:rsid w:val="00663089"/>
    <w:rsid w:val="00667BEE"/>
    <w:rsid w:val="00671D33"/>
    <w:rsid w:val="006725E7"/>
    <w:rsid w:val="006809A2"/>
    <w:rsid w:val="006845D6"/>
    <w:rsid w:val="00690B20"/>
    <w:rsid w:val="00694E84"/>
    <w:rsid w:val="0069503A"/>
    <w:rsid w:val="006A0466"/>
    <w:rsid w:val="006A2D89"/>
    <w:rsid w:val="006A3260"/>
    <w:rsid w:val="006B4BD6"/>
    <w:rsid w:val="006B5586"/>
    <w:rsid w:val="006C23A3"/>
    <w:rsid w:val="006C5A63"/>
    <w:rsid w:val="006D325E"/>
    <w:rsid w:val="006D5753"/>
    <w:rsid w:val="006E2413"/>
    <w:rsid w:val="006E3291"/>
    <w:rsid w:val="006E4DE0"/>
    <w:rsid w:val="007117C4"/>
    <w:rsid w:val="00713AA9"/>
    <w:rsid w:val="00716A5A"/>
    <w:rsid w:val="00722F7E"/>
    <w:rsid w:val="00733EED"/>
    <w:rsid w:val="0073449E"/>
    <w:rsid w:val="00742311"/>
    <w:rsid w:val="00750331"/>
    <w:rsid w:val="00755E50"/>
    <w:rsid w:val="00771660"/>
    <w:rsid w:val="00775B06"/>
    <w:rsid w:val="0079128A"/>
    <w:rsid w:val="00792BD0"/>
    <w:rsid w:val="00795698"/>
    <w:rsid w:val="00797E17"/>
    <w:rsid w:val="007B3918"/>
    <w:rsid w:val="007B607B"/>
    <w:rsid w:val="007C06DE"/>
    <w:rsid w:val="007E0266"/>
    <w:rsid w:val="007F2E0A"/>
    <w:rsid w:val="00801075"/>
    <w:rsid w:val="00804D62"/>
    <w:rsid w:val="00806ECE"/>
    <w:rsid w:val="008108CF"/>
    <w:rsid w:val="00810942"/>
    <w:rsid w:val="008142D6"/>
    <w:rsid w:val="00817CDD"/>
    <w:rsid w:val="0082213D"/>
    <w:rsid w:val="00824B72"/>
    <w:rsid w:val="00833214"/>
    <w:rsid w:val="00845296"/>
    <w:rsid w:val="008466D3"/>
    <w:rsid w:val="00847318"/>
    <w:rsid w:val="00850967"/>
    <w:rsid w:val="008549A5"/>
    <w:rsid w:val="00870486"/>
    <w:rsid w:val="00871FCC"/>
    <w:rsid w:val="00874835"/>
    <w:rsid w:val="00886914"/>
    <w:rsid w:val="00887F6B"/>
    <w:rsid w:val="00893735"/>
    <w:rsid w:val="008955D0"/>
    <w:rsid w:val="008A0523"/>
    <w:rsid w:val="008A53EC"/>
    <w:rsid w:val="008B5628"/>
    <w:rsid w:val="008B6E1C"/>
    <w:rsid w:val="008C2843"/>
    <w:rsid w:val="008C7BEF"/>
    <w:rsid w:val="008D300A"/>
    <w:rsid w:val="008D4570"/>
    <w:rsid w:val="008E1ED6"/>
    <w:rsid w:val="008E5C65"/>
    <w:rsid w:val="008F1198"/>
    <w:rsid w:val="008F20FA"/>
    <w:rsid w:val="008F63B5"/>
    <w:rsid w:val="00912143"/>
    <w:rsid w:val="00916260"/>
    <w:rsid w:val="00916B0E"/>
    <w:rsid w:val="00921A36"/>
    <w:rsid w:val="009342A0"/>
    <w:rsid w:val="00934F6C"/>
    <w:rsid w:val="00941B1F"/>
    <w:rsid w:val="009434A9"/>
    <w:rsid w:val="009535B4"/>
    <w:rsid w:val="00953B57"/>
    <w:rsid w:val="0096169F"/>
    <w:rsid w:val="009643FD"/>
    <w:rsid w:val="00964B5D"/>
    <w:rsid w:val="0097397F"/>
    <w:rsid w:val="00975867"/>
    <w:rsid w:val="00991085"/>
    <w:rsid w:val="0099225A"/>
    <w:rsid w:val="009A2898"/>
    <w:rsid w:val="009A5D8F"/>
    <w:rsid w:val="009B29F9"/>
    <w:rsid w:val="009B3399"/>
    <w:rsid w:val="009B4E50"/>
    <w:rsid w:val="009B55A2"/>
    <w:rsid w:val="009B5B8E"/>
    <w:rsid w:val="009C2CC5"/>
    <w:rsid w:val="009C7075"/>
    <w:rsid w:val="009D4264"/>
    <w:rsid w:val="009F0906"/>
    <w:rsid w:val="009F4601"/>
    <w:rsid w:val="009F6DDE"/>
    <w:rsid w:val="009F71FA"/>
    <w:rsid w:val="00A07527"/>
    <w:rsid w:val="00A17356"/>
    <w:rsid w:val="00A23E02"/>
    <w:rsid w:val="00A350B0"/>
    <w:rsid w:val="00A36C2A"/>
    <w:rsid w:val="00A40CEC"/>
    <w:rsid w:val="00A669EB"/>
    <w:rsid w:val="00A70984"/>
    <w:rsid w:val="00A73635"/>
    <w:rsid w:val="00A76844"/>
    <w:rsid w:val="00A769F5"/>
    <w:rsid w:val="00A861CD"/>
    <w:rsid w:val="00A87FDC"/>
    <w:rsid w:val="00AA25F0"/>
    <w:rsid w:val="00AA6A31"/>
    <w:rsid w:val="00AB604A"/>
    <w:rsid w:val="00AC642F"/>
    <w:rsid w:val="00AD13FD"/>
    <w:rsid w:val="00AD1CED"/>
    <w:rsid w:val="00AE02A8"/>
    <w:rsid w:val="00AE0558"/>
    <w:rsid w:val="00AE7FAB"/>
    <w:rsid w:val="00AF2D25"/>
    <w:rsid w:val="00AF4497"/>
    <w:rsid w:val="00B04DD3"/>
    <w:rsid w:val="00B110B7"/>
    <w:rsid w:val="00B12588"/>
    <w:rsid w:val="00B12C9D"/>
    <w:rsid w:val="00B1311A"/>
    <w:rsid w:val="00B164F1"/>
    <w:rsid w:val="00B21962"/>
    <w:rsid w:val="00B21C37"/>
    <w:rsid w:val="00B26F92"/>
    <w:rsid w:val="00B30418"/>
    <w:rsid w:val="00B3086A"/>
    <w:rsid w:val="00B326BB"/>
    <w:rsid w:val="00B35A57"/>
    <w:rsid w:val="00B367C2"/>
    <w:rsid w:val="00B43BAD"/>
    <w:rsid w:val="00B44588"/>
    <w:rsid w:val="00B45D0C"/>
    <w:rsid w:val="00B55B2C"/>
    <w:rsid w:val="00B57A56"/>
    <w:rsid w:val="00B63404"/>
    <w:rsid w:val="00B66765"/>
    <w:rsid w:val="00B831CF"/>
    <w:rsid w:val="00B83625"/>
    <w:rsid w:val="00B90DA4"/>
    <w:rsid w:val="00B92A5D"/>
    <w:rsid w:val="00BA15DF"/>
    <w:rsid w:val="00BA5CDB"/>
    <w:rsid w:val="00BB1141"/>
    <w:rsid w:val="00BB2711"/>
    <w:rsid w:val="00BB3714"/>
    <w:rsid w:val="00BB5396"/>
    <w:rsid w:val="00BC30E3"/>
    <w:rsid w:val="00BC3863"/>
    <w:rsid w:val="00BC4120"/>
    <w:rsid w:val="00BD091E"/>
    <w:rsid w:val="00BD38DB"/>
    <w:rsid w:val="00BD5B57"/>
    <w:rsid w:val="00BD711C"/>
    <w:rsid w:val="00BD72D6"/>
    <w:rsid w:val="00BD7521"/>
    <w:rsid w:val="00BE6C9F"/>
    <w:rsid w:val="00BF37E2"/>
    <w:rsid w:val="00C07C49"/>
    <w:rsid w:val="00C07D0F"/>
    <w:rsid w:val="00C14B35"/>
    <w:rsid w:val="00C14E4F"/>
    <w:rsid w:val="00C15025"/>
    <w:rsid w:val="00C254B7"/>
    <w:rsid w:val="00C27A8C"/>
    <w:rsid w:val="00C334C8"/>
    <w:rsid w:val="00C353BD"/>
    <w:rsid w:val="00C36DBE"/>
    <w:rsid w:val="00C406E2"/>
    <w:rsid w:val="00C42430"/>
    <w:rsid w:val="00C42880"/>
    <w:rsid w:val="00C464DB"/>
    <w:rsid w:val="00C65A0B"/>
    <w:rsid w:val="00C65DB3"/>
    <w:rsid w:val="00C676DE"/>
    <w:rsid w:val="00C7036A"/>
    <w:rsid w:val="00C70757"/>
    <w:rsid w:val="00C85F8E"/>
    <w:rsid w:val="00C93031"/>
    <w:rsid w:val="00C9407B"/>
    <w:rsid w:val="00CB0F6D"/>
    <w:rsid w:val="00CB2A73"/>
    <w:rsid w:val="00CB537A"/>
    <w:rsid w:val="00CE233E"/>
    <w:rsid w:val="00CE693D"/>
    <w:rsid w:val="00CF53C2"/>
    <w:rsid w:val="00D001B4"/>
    <w:rsid w:val="00D03ECE"/>
    <w:rsid w:val="00D16546"/>
    <w:rsid w:val="00D17D20"/>
    <w:rsid w:val="00D319D2"/>
    <w:rsid w:val="00D321FD"/>
    <w:rsid w:val="00D44DBF"/>
    <w:rsid w:val="00D46FE6"/>
    <w:rsid w:val="00D50DA7"/>
    <w:rsid w:val="00D50FB2"/>
    <w:rsid w:val="00D57041"/>
    <w:rsid w:val="00D73141"/>
    <w:rsid w:val="00D77B74"/>
    <w:rsid w:val="00D850A7"/>
    <w:rsid w:val="00D868AD"/>
    <w:rsid w:val="00D930E0"/>
    <w:rsid w:val="00D94E46"/>
    <w:rsid w:val="00D95E39"/>
    <w:rsid w:val="00DB1115"/>
    <w:rsid w:val="00DB6A90"/>
    <w:rsid w:val="00DC4F5B"/>
    <w:rsid w:val="00DC5B6E"/>
    <w:rsid w:val="00DC6C73"/>
    <w:rsid w:val="00DD03E5"/>
    <w:rsid w:val="00DD443D"/>
    <w:rsid w:val="00DD5A3E"/>
    <w:rsid w:val="00DD6D1D"/>
    <w:rsid w:val="00DD74E4"/>
    <w:rsid w:val="00DE1434"/>
    <w:rsid w:val="00DE3D60"/>
    <w:rsid w:val="00DE5703"/>
    <w:rsid w:val="00DE7339"/>
    <w:rsid w:val="00DF1830"/>
    <w:rsid w:val="00E017E1"/>
    <w:rsid w:val="00E01FE3"/>
    <w:rsid w:val="00E048E6"/>
    <w:rsid w:val="00E065D6"/>
    <w:rsid w:val="00E12415"/>
    <w:rsid w:val="00E20CF3"/>
    <w:rsid w:val="00E276F5"/>
    <w:rsid w:val="00E32A12"/>
    <w:rsid w:val="00E649F8"/>
    <w:rsid w:val="00E673FE"/>
    <w:rsid w:val="00E7317F"/>
    <w:rsid w:val="00E772F9"/>
    <w:rsid w:val="00E9515E"/>
    <w:rsid w:val="00EC0D12"/>
    <w:rsid w:val="00EC4BA1"/>
    <w:rsid w:val="00EE73B6"/>
    <w:rsid w:val="00EF4347"/>
    <w:rsid w:val="00EF4CBE"/>
    <w:rsid w:val="00EF5029"/>
    <w:rsid w:val="00EF57E1"/>
    <w:rsid w:val="00F02654"/>
    <w:rsid w:val="00F112D4"/>
    <w:rsid w:val="00F11384"/>
    <w:rsid w:val="00F1480A"/>
    <w:rsid w:val="00F30435"/>
    <w:rsid w:val="00F33228"/>
    <w:rsid w:val="00F334AF"/>
    <w:rsid w:val="00F33562"/>
    <w:rsid w:val="00F46A20"/>
    <w:rsid w:val="00F525B7"/>
    <w:rsid w:val="00F53A5A"/>
    <w:rsid w:val="00F55F0D"/>
    <w:rsid w:val="00F56FFE"/>
    <w:rsid w:val="00F61071"/>
    <w:rsid w:val="00F616A4"/>
    <w:rsid w:val="00F72EFA"/>
    <w:rsid w:val="00F77539"/>
    <w:rsid w:val="00F839FA"/>
    <w:rsid w:val="00F91F70"/>
    <w:rsid w:val="00F956BB"/>
    <w:rsid w:val="00FA1C26"/>
    <w:rsid w:val="00FA75A5"/>
    <w:rsid w:val="00FB0832"/>
    <w:rsid w:val="00FC0C4B"/>
    <w:rsid w:val="00FC6A36"/>
    <w:rsid w:val="00FD1863"/>
    <w:rsid w:val="00FD715A"/>
    <w:rsid w:val="00FE22B2"/>
    <w:rsid w:val="00FE2B5A"/>
    <w:rsid w:val="00FE42D8"/>
    <w:rsid w:val="00FE4C3F"/>
    <w:rsid w:val="00FF132A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81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D7181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2D7181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2D7181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D7181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D7181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2D7181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2D7181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D7181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2D7181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7B87"/>
    <w:rPr>
      <w:kern w:val="28"/>
      <w:sz w:val="22"/>
      <w:szCs w:val="22"/>
      <w:lang w:val="pl-PL" w:eastAsia="pl-PL" w:bidi="pl-PL"/>
    </w:rPr>
  </w:style>
  <w:style w:type="character" w:customStyle="1" w:styleId="Heading2Char">
    <w:name w:val="Heading 2 Char"/>
    <w:basedOn w:val="DefaultParagraphFont"/>
    <w:link w:val="Heading2"/>
    <w:rsid w:val="00DB7B87"/>
    <w:rPr>
      <w:sz w:val="22"/>
      <w:szCs w:val="22"/>
      <w:lang w:val="pl-PL" w:eastAsia="pl-PL" w:bidi="pl-PL"/>
    </w:rPr>
  </w:style>
  <w:style w:type="character" w:customStyle="1" w:styleId="Heading3Char">
    <w:name w:val="Heading 3 Char"/>
    <w:basedOn w:val="DefaultParagraphFont"/>
    <w:link w:val="Heading3"/>
    <w:rsid w:val="00DB7B87"/>
    <w:rPr>
      <w:sz w:val="22"/>
      <w:szCs w:val="22"/>
      <w:lang w:val="pl-PL" w:eastAsia="pl-PL" w:bidi="pl-PL"/>
    </w:rPr>
  </w:style>
  <w:style w:type="character" w:customStyle="1" w:styleId="Heading4Char">
    <w:name w:val="Heading 4 Char"/>
    <w:basedOn w:val="DefaultParagraphFont"/>
    <w:link w:val="Heading4"/>
    <w:rsid w:val="00DB7B87"/>
    <w:rPr>
      <w:sz w:val="22"/>
      <w:szCs w:val="22"/>
      <w:lang w:val="pl-PL" w:eastAsia="pl-PL" w:bidi="pl-PL"/>
    </w:rPr>
  </w:style>
  <w:style w:type="character" w:customStyle="1" w:styleId="Heading5Char">
    <w:name w:val="Heading 5 Char"/>
    <w:basedOn w:val="DefaultParagraphFont"/>
    <w:link w:val="Heading5"/>
    <w:rsid w:val="00DB7B87"/>
    <w:rPr>
      <w:sz w:val="22"/>
      <w:szCs w:val="22"/>
      <w:lang w:val="pl-PL" w:eastAsia="pl-PL" w:bidi="pl-PL"/>
    </w:rPr>
  </w:style>
  <w:style w:type="character" w:customStyle="1" w:styleId="Heading6Char">
    <w:name w:val="Heading 6 Char"/>
    <w:basedOn w:val="DefaultParagraphFont"/>
    <w:link w:val="Heading6"/>
    <w:rsid w:val="00DB7B87"/>
    <w:rPr>
      <w:sz w:val="22"/>
      <w:szCs w:val="22"/>
      <w:lang w:val="pl-PL" w:eastAsia="pl-PL" w:bidi="pl-PL"/>
    </w:rPr>
  </w:style>
  <w:style w:type="character" w:customStyle="1" w:styleId="Heading7Char">
    <w:name w:val="Heading 7 Char"/>
    <w:basedOn w:val="DefaultParagraphFont"/>
    <w:link w:val="Heading7"/>
    <w:rsid w:val="00DB7B87"/>
    <w:rPr>
      <w:sz w:val="22"/>
      <w:szCs w:val="22"/>
      <w:lang w:val="pl-PL" w:eastAsia="pl-PL" w:bidi="pl-PL"/>
    </w:rPr>
  </w:style>
  <w:style w:type="character" w:customStyle="1" w:styleId="Heading8Char">
    <w:name w:val="Heading 8 Char"/>
    <w:basedOn w:val="DefaultParagraphFont"/>
    <w:link w:val="Heading8"/>
    <w:rsid w:val="00DB7B87"/>
    <w:rPr>
      <w:sz w:val="22"/>
      <w:szCs w:val="22"/>
      <w:lang w:val="pl-PL" w:eastAsia="pl-PL" w:bidi="pl-PL"/>
    </w:rPr>
  </w:style>
  <w:style w:type="character" w:customStyle="1" w:styleId="Heading9Char">
    <w:name w:val="Heading 9 Char"/>
    <w:basedOn w:val="DefaultParagraphFont"/>
    <w:link w:val="Heading9"/>
    <w:rsid w:val="00DB7B87"/>
    <w:rPr>
      <w:sz w:val="22"/>
      <w:szCs w:val="22"/>
      <w:lang w:val="pl-PL" w:eastAsia="pl-PL" w:bidi="pl-PL"/>
    </w:rPr>
  </w:style>
  <w:style w:type="paragraph" w:styleId="Footer">
    <w:name w:val="footer"/>
    <w:basedOn w:val="Normal"/>
    <w:link w:val="FooterChar"/>
    <w:qFormat/>
    <w:rsid w:val="002D7181"/>
  </w:style>
  <w:style w:type="character" w:customStyle="1" w:styleId="FooterChar">
    <w:name w:val="Footer Char"/>
    <w:basedOn w:val="DefaultParagraphFont"/>
    <w:link w:val="Footer"/>
    <w:rsid w:val="00DB7B87"/>
    <w:rPr>
      <w:sz w:val="22"/>
      <w:szCs w:val="22"/>
      <w:lang w:eastAsia="pl-PL" w:bidi="pl-PL"/>
    </w:rPr>
  </w:style>
  <w:style w:type="paragraph" w:styleId="FootnoteText">
    <w:name w:val="footnote text"/>
    <w:basedOn w:val="Normal"/>
    <w:link w:val="FootnoteTextChar"/>
    <w:qFormat/>
    <w:rsid w:val="002D7181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DB7B87"/>
    <w:rPr>
      <w:sz w:val="16"/>
      <w:szCs w:val="22"/>
      <w:lang w:val="pl-PL" w:eastAsia="pl-PL" w:bidi="pl-PL"/>
    </w:rPr>
  </w:style>
  <w:style w:type="paragraph" w:styleId="Header">
    <w:name w:val="header"/>
    <w:basedOn w:val="Normal"/>
    <w:link w:val="HeaderChar"/>
    <w:qFormat/>
    <w:rsid w:val="002D7181"/>
  </w:style>
  <w:style w:type="character" w:customStyle="1" w:styleId="HeaderChar">
    <w:name w:val="Header Char"/>
    <w:basedOn w:val="DefaultParagraphFont"/>
    <w:link w:val="Header"/>
    <w:rsid w:val="00DB7B87"/>
    <w:rPr>
      <w:sz w:val="22"/>
      <w:szCs w:val="22"/>
      <w:lang w:eastAsia="pl-PL" w:bidi="pl-PL"/>
    </w:rPr>
  </w:style>
  <w:style w:type="paragraph" w:customStyle="1" w:styleId="quotes">
    <w:name w:val="quotes"/>
    <w:basedOn w:val="Normal"/>
    <w:next w:val="Normal"/>
    <w:rsid w:val="002D7181"/>
    <w:pPr>
      <w:ind w:left="720"/>
    </w:pPr>
    <w:rPr>
      <w:i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2D7181"/>
    <w:rPr>
      <w:sz w:val="24"/>
      <w:vertAlign w:val="superscript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customStyle="1" w:styleId="LOGO">
    <w:name w:val="LOGO"/>
    <w:basedOn w:val="Normal"/>
    <w:pPr>
      <w:jc w:val="center"/>
    </w:pPr>
    <w:rPr>
      <w:rFonts w:ascii="Arial" w:hAnsi="Arial" w:cs="Arial"/>
      <w:b/>
      <w:bCs/>
      <w:i/>
      <w:iCs/>
      <w:sz w:val="20"/>
    </w:rPr>
  </w:style>
  <w:style w:type="paragraph" w:styleId="ListParagraph">
    <w:name w:val="List Paragraph"/>
    <w:basedOn w:val="Normal"/>
    <w:uiPriority w:val="34"/>
    <w:qFormat/>
    <w:rsid w:val="00D001B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70C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0CD5"/>
    <w:rPr>
      <w:rFonts w:ascii="Tahoma" w:hAnsi="Tahoma" w:cs="Tahoma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81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D7181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2D7181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2D7181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D7181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D7181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2D7181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2D7181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D7181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2D7181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7B87"/>
    <w:rPr>
      <w:kern w:val="28"/>
      <w:sz w:val="22"/>
      <w:szCs w:val="22"/>
      <w:lang w:val="pl-PL" w:eastAsia="pl-PL" w:bidi="pl-PL"/>
    </w:rPr>
  </w:style>
  <w:style w:type="character" w:customStyle="1" w:styleId="Heading2Char">
    <w:name w:val="Heading 2 Char"/>
    <w:basedOn w:val="DefaultParagraphFont"/>
    <w:link w:val="Heading2"/>
    <w:rsid w:val="00DB7B87"/>
    <w:rPr>
      <w:sz w:val="22"/>
      <w:szCs w:val="22"/>
      <w:lang w:val="pl-PL" w:eastAsia="pl-PL" w:bidi="pl-PL"/>
    </w:rPr>
  </w:style>
  <w:style w:type="character" w:customStyle="1" w:styleId="Heading3Char">
    <w:name w:val="Heading 3 Char"/>
    <w:basedOn w:val="DefaultParagraphFont"/>
    <w:link w:val="Heading3"/>
    <w:rsid w:val="00DB7B87"/>
    <w:rPr>
      <w:sz w:val="22"/>
      <w:szCs w:val="22"/>
      <w:lang w:val="pl-PL" w:eastAsia="pl-PL" w:bidi="pl-PL"/>
    </w:rPr>
  </w:style>
  <w:style w:type="character" w:customStyle="1" w:styleId="Heading4Char">
    <w:name w:val="Heading 4 Char"/>
    <w:basedOn w:val="DefaultParagraphFont"/>
    <w:link w:val="Heading4"/>
    <w:rsid w:val="00DB7B87"/>
    <w:rPr>
      <w:sz w:val="22"/>
      <w:szCs w:val="22"/>
      <w:lang w:val="pl-PL" w:eastAsia="pl-PL" w:bidi="pl-PL"/>
    </w:rPr>
  </w:style>
  <w:style w:type="character" w:customStyle="1" w:styleId="Heading5Char">
    <w:name w:val="Heading 5 Char"/>
    <w:basedOn w:val="DefaultParagraphFont"/>
    <w:link w:val="Heading5"/>
    <w:rsid w:val="00DB7B87"/>
    <w:rPr>
      <w:sz w:val="22"/>
      <w:szCs w:val="22"/>
      <w:lang w:val="pl-PL" w:eastAsia="pl-PL" w:bidi="pl-PL"/>
    </w:rPr>
  </w:style>
  <w:style w:type="character" w:customStyle="1" w:styleId="Heading6Char">
    <w:name w:val="Heading 6 Char"/>
    <w:basedOn w:val="DefaultParagraphFont"/>
    <w:link w:val="Heading6"/>
    <w:rsid w:val="00DB7B87"/>
    <w:rPr>
      <w:sz w:val="22"/>
      <w:szCs w:val="22"/>
      <w:lang w:val="pl-PL" w:eastAsia="pl-PL" w:bidi="pl-PL"/>
    </w:rPr>
  </w:style>
  <w:style w:type="character" w:customStyle="1" w:styleId="Heading7Char">
    <w:name w:val="Heading 7 Char"/>
    <w:basedOn w:val="DefaultParagraphFont"/>
    <w:link w:val="Heading7"/>
    <w:rsid w:val="00DB7B87"/>
    <w:rPr>
      <w:sz w:val="22"/>
      <w:szCs w:val="22"/>
      <w:lang w:val="pl-PL" w:eastAsia="pl-PL" w:bidi="pl-PL"/>
    </w:rPr>
  </w:style>
  <w:style w:type="character" w:customStyle="1" w:styleId="Heading8Char">
    <w:name w:val="Heading 8 Char"/>
    <w:basedOn w:val="DefaultParagraphFont"/>
    <w:link w:val="Heading8"/>
    <w:rsid w:val="00DB7B87"/>
    <w:rPr>
      <w:sz w:val="22"/>
      <w:szCs w:val="22"/>
      <w:lang w:val="pl-PL" w:eastAsia="pl-PL" w:bidi="pl-PL"/>
    </w:rPr>
  </w:style>
  <w:style w:type="character" w:customStyle="1" w:styleId="Heading9Char">
    <w:name w:val="Heading 9 Char"/>
    <w:basedOn w:val="DefaultParagraphFont"/>
    <w:link w:val="Heading9"/>
    <w:rsid w:val="00DB7B87"/>
    <w:rPr>
      <w:sz w:val="22"/>
      <w:szCs w:val="22"/>
      <w:lang w:val="pl-PL" w:eastAsia="pl-PL" w:bidi="pl-PL"/>
    </w:rPr>
  </w:style>
  <w:style w:type="paragraph" w:styleId="Footer">
    <w:name w:val="footer"/>
    <w:basedOn w:val="Normal"/>
    <w:link w:val="FooterChar"/>
    <w:qFormat/>
    <w:rsid w:val="002D7181"/>
  </w:style>
  <w:style w:type="character" w:customStyle="1" w:styleId="FooterChar">
    <w:name w:val="Footer Char"/>
    <w:basedOn w:val="DefaultParagraphFont"/>
    <w:link w:val="Footer"/>
    <w:rsid w:val="00DB7B87"/>
    <w:rPr>
      <w:sz w:val="22"/>
      <w:szCs w:val="22"/>
      <w:lang w:eastAsia="pl-PL" w:bidi="pl-PL"/>
    </w:rPr>
  </w:style>
  <w:style w:type="paragraph" w:styleId="FootnoteText">
    <w:name w:val="footnote text"/>
    <w:basedOn w:val="Normal"/>
    <w:link w:val="FootnoteTextChar"/>
    <w:qFormat/>
    <w:rsid w:val="002D7181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DB7B87"/>
    <w:rPr>
      <w:sz w:val="16"/>
      <w:szCs w:val="22"/>
      <w:lang w:val="pl-PL" w:eastAsia="pl-PL" w:bidi="pl-PL"/>
    </w:rPr>
  </w:style>
  <w:style w:type="paragraph" w:styleId="Header">
    <w:name w:val="header"/>
    <w:basedOn w:val="Normal"/>
    <w:link w:val="HeaderChar"/>
    <w:qFormat/>
    <w:rsid w:val="002D7181"/>
  </w:style>
  <w:style w:type="character" w:customStyle="1" w:styleId="HeaderChar">
    <w:name w:val="Header Char"/>
    <w:basedOn w:val="DefaultParagraphFont"/>
    <w:link w:val="Header"/>
    <w:rsid w:val="00DB7B87"/>
    <w:rPr>
      <w:sz w:val="22"/>
      <w:szCs w:val="22"/>
      <w:lang w:eastAsia="pl-PL" w:bidi="pl-PL"/>
    </w:rPr>
  </w:style>
  <w:style w:type="paragraph" w:customStyle="1" w:styleId="quotes">
    <w:name w:val="quotes"/>
    <w:basedOn w:val="Normal"/>
    <w:next w:val="Normal"/>
    <w:rsid w:val="002D7181"/>
    <w:pPr>
      <w:ind w:left="720"/>
    </w:pPr>
    <w:rPr>
      <w:i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2D7181"/>
    <w:rPr>
      <w:sz w:val="24"/>
      <w:vertAlign w:val="superscript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customStyle="1" w:styleId="LOGO">
    <w:name w:val="LOGO"/>
    <w:basedOn w:val="Normal"/>
    <w:pPr>
      <w:jc w:val="center"/>
    </w:pPr>
    <w:rPr>
      <w:rFonts w:ascii="Arial" w:hAnsi="Arial" w:cs="Arial"/>
      <w:b/>
      <w:bCs/>
      <w:i/>
      <w:iCs/>
      <w:sz w:val="20"/>
    </w:rPr>
  </w:style>
  <w:style w:type="paragraph" w:styleId="ListParagraph">
    <w:name w:val="List Paragraph"/>
    <w:basedOn w:val="Normal"/>
    <w:uiPriority w:val="34"/>
    <w:qFormat/>
    <w:rsid w:val="00D001B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70C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0CD5"/>
    <w:rPr>
      <w:rFonts w:ascii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31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edia.wix.com/ugd/32bd65_afadb83292a0452fa58289575d1e5eaf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7f9acf0-bf35-44c8-9f53-e67291d19401">H6KF3DZUJANF-3-7014</_dlc_DocId>
    <_dlc_DocIdUrl xmlns="37f9acf0-bf35-44c8-9f53-e67291d19401">
      <Url>http://dm/CoR/2017/_layouts/DocIdRedir.aspx?ID=H6KF3DZUJANF-3-7014</Url>
      <Description>H6KF3DZUJANF-3-7014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</TermName>
          <TermId xmlns="http://schemas.microsoft.com/office/infopath/2007/PartnerControls">a4cc1d15-fb08-4679-ad46-e4e0cba5fe92</TermId>
        </TermInfo>
      </Terms>
    </DocumentType_0>
    <Procedure xmlns="37f9acf0-bf35-44c8-9f53-e67291d19401" xsi:nil="true"/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SEDEC-VI</TermName>
          <TermId xmlns="http://schemas.microsoft.com/office/infopath/2007/PartnerControls">f06eb240-9dba-4299-813c-b6d38e9a15c0</TermId>
        </TermInfo>
      </Terms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</TermName>
          <TermId xmlns="http://schemas.microsoft.com/office/infopath/2007/PartnerControls">cb2d75ef-4a7d-4393-b797-49ed6298a5ea</TermId>
        </TermInfo>
      </Terms>
    </DocumentSource_0>
    <ProductionDate xmlns="37f9acf0-bf35-44c8-9f53-e67291d19401">2017-05-29T12:00:00+00:00</ProductionDate>
    <FicheYear xmlns="37f9acf0-bf35-44c8-9f53-e67291d19401">2017</FicheYear>
    <DocumentNumber xmlns="af6c9b25-e7d7-4163-b6d3-4cc1492486fa">44</DocumentNumber>
    <DocumentVersion xmlns="37f9acf0-bf35-44c8-9f53-e67291d19401">1</DocumentVersion>
    <DossierNumber xmlns="37f9acf0-bf35-44c8-9f53-e67291d19401">22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TaxCatchAll xmlns="37f9acf0-bf35-44c8-9f53-e67291d19401">
      <Value>41</Value>
      <Value>40</Value>
      <Value>39</Value>
      <Value>38</Value>
      <Value>37</Value>
      <Value>36</Value>
      <Value>35</Value>
      <Value>34</Value>
      <Value>32</Value>
      <Value>31</Value>
      <Value>30</Value>
      <Value>29</Value>
      <Value>28</Value>
      <Value>26</Value>
      <Value>25</Value>
      <Value>24</Value>
      <Value>23</Value>
      <Value>21</Value>
      <Value>19</Value>
      <Value>18</Value>
      <Value>15</Value>
      <Value>12</Value>
      <Value>100</Value>
      <Value>10</Value>
      <Value>7</Value>
      <Value>6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MeetingDate xmlns="37f9acf0-bf35-44c8-9f53-e67291d19401" xsi:nil="true"/>
    <Rapporteur xmlns="37f9acf0-bf35-44c8-9f53-e67291d19401">BUDDE</Rapporteur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FicheNumber xmlns="37f9acf0-bf35-44c8-9f53-e67291d19401">6063</FicheNumber>
    <DocumentYear xmlns="37f9acf0-bf35-44c8-9f53-e67291d19401">2017</DocumentYear>
    <DocumentPart xmlns="37f9acf0-bf35-44c8-9f53-e67291d19401">0</DocumentPart>
    <AdoptionDate xmlns="37f9acf0-bf35-44c8-9f53-e67291d19401">2017-05-11T12:00:00+00:00</AdoptionDate>
    <RequestingService xmlns="37f9acf0-bf35-44c8-9f53-e67291d19401">Commission SEDEC</RequestingService>
    <MeetingName_0 xmlns="http://schemas.microsoft.com/sharepoint/v3/fields">
      <Terms xmlns="http://schemas.microsoft.com/office/infopath/2007/PartnerControls"/>
    </MeetingName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AvailableTranslations_0>
    <MeetingNumber xmlns="af6c9b25-e7d7-4163-b6d3-4cc1492486fa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484AA0F52D6FB7498D927C6F42DBCD90" ma:contentTypeVersion="4" ma:contentTypeDescription="Defines the documents for Document Manager V2" ma:contentTypeScope="" ma:versionID="4d74c65566801f173c287031b2373317">
  <xsd:schema xmlns:xsd="http://www.w3.org/2001/XMLSchema" xmlns:xs="http://www.w3.org/2001/XMLSchema" xmlns:p="http://schemas.microsoft.com/office/2006/metadata/properties" xmlns:ns2="37f9acf0-bf35-44c8-9f53-e67291d19401" xmlns:ns3="http://schemas.microsoft.com/sharepoint/v3/fields" xmlns:ns4="af6c9b25-e7d7-4163-b6d3-4cc1492486fa" targetNamespace="http://schemas.microsoft.com/office/2006/metadata/properties" ma:root="true" ma:fieldsID="e7c8011f90a6e976bb95aa7868c124a7" ns2:_="" ns3:_="" ns4:_="">
    <xsd:import namespace="37f9acf0-bf35-44c8-9f53-e67291d19401"/>
    <xsd:import namespace="http://schemas.microsoft.com/sharepoint/v3/fields"/>
    <xsd:import namespace="af6c9b25-e7d7-4163-b6d3-4cc1492486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9acf0-bf35-44c8-9f53-e67291d194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3d6412f3-9d1e-45de-b591-48ffe657b591}" ma:internalName="TaxCatchAll" ma:showField="CatchAllData" ma:web="37f9acf0-bf35-44c8-9f53-e67291d19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3d6412f3-9d1e-45de-b591-48ffe657b591}" ma:internalName="TaxCatchAllLabel" ma:readOnly="true" ma:showField="CatchAllDataLabel" ma:web="37f9acf0-bf35-44c8-9f53-e67291d19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c9b25-e7d7-4163-b6d3-4cc1492486fa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D82DB-30A5-4B83-8BEF-C2CB6F3F3BD0}"/>
</file>

<file path=customXml/itemProps2.xml><?xml version="1.0" encoding="utf-8"?>
<ds:datastoreItem xmlns:ds="http://schemas.openxmlformats.org/officeDocument/2006/customXml" ds:itemID="{1671F4DC-B618-441C-970E-B71C69155454}"/>
</file>

<file path=customXml/itemProps3.xml><?xml version="1.0" encoding="utf-8"?>
<ds:datastoreItem xmlns:ds="http://schemas.openxmlformats.org/officeDocument/2006/customXml" ds:itemID="{EF504201-9B20-469E-BB2C-76F6D6D8CD67}"/>
</file>

<file path=customXml/itemProps4.xml><?xml version="1.0" encoding="utf-8"?>
<ds:datastoreItem xmlns:ds="http://schemas.openxmlformats.org/officeDocument/2006/customXml" ds:itemID="{AEEC6E25-2DB9-403C-B491-630E0CFF98CB}"/>
</file>

<file path=customXml/itemProps5.xml><?xml version="1.0" encoding="utf-8"?>
<ds:datastoreItem xmlns:ds="http://schemas.openxmlformats.org/officeDocument/2006/customXml" ds:itemID="{8C264167-FB30-4AC8-868A-3BED28162C4C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20</TotalTime>
  <Pages>3</Pages>
  <Words>2966</Words>
  <Characters>20193</Characters>
  <Application>Microsoft Office Word</Application>
  <DocSecurity>0</DocSecurity>
  <Lines>417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Local and Regional dimension of Bioeconomy and the role of regions and cities</vt:lpstr>
      <vt:lpstr>CoR PA Model</vt:lpstr>
    </vt:vector>
  </TitlesOfParts>
  <Company>CESE-CdR</Company>
  <LinksUpToDate>false</LinksUpToDate>
  <CharactersWithSpaces>23089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Lokalny i regionalny wymiar biogospodarki oraz rola regionów i miast</dc:title>
  <dc:subject>Opinia Komitetu</dc:subject>
  <dc:creator/>
  <cp:keywords>COR-2017-00044-00-01-AC-TRA-PL</cp:keywords>
  <dc:description>Rapporteur: BUDDE_x000d_
Original language: EN_x000d_
Date of document: 29/05/2017_x000d_
Date of meeting: _x000d_
External documents: -_x000d_
Administrator responsible: SATTA VALERIA, telephone: + 2 282 2495_x000d_
_x000d_
Abstract:</dc:description>
  <cp:lastModifiedBy>Anna Kosim-Basimoglu</cp:lastModifiedBy>
  <cp:revision>11</cp:revision>
  <cp:lastPrinted>2017-03-06T07:54:00Z</cp:lastPrinted>
  <dcterms:created xsi:type="dcterms:W3CDTF">2017-05-24T09:01:00Z</dcterms:created>
  <dcterms:modified xsi:type="dcterms:W3CDTF">2017-05-29T14:11:00Z</dcterms:modified>
  <cp:category>SEDEC-VI/022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vent date">
    <vt:lpwstr/>
  </property>
  <property fmtid="{D5CDD505-2E9C-101B-9397-08002B2CF9AE}" pid="3" name="Year">
    <vt:lpwstr/>
  </property>
  <property fmtid="{D5CDD505-2E9C-101B-9397-08002B2CF9AE}" pid="4" name="Domain New">
    <vt:lpwstr>IT tools related documents</vt:lpwstr>
  </property>
  <property fmtid="{D5CDD505-2E9C-101B-9397-08002B2CF9AE}" pid="5" name="Subdomain New">
    <vt:lpwstr>Ariane</vt:lpwstr>
  </property>
  <property fmtid="{D5CDD505-2E9C-101B-9397-08002B2CF9AE}" pid="6" name="ContentTypeId">
    <vt:lpwstr>0x010100EA97B91038054C99906057A708A1480A00484AA0F52D6FB7498D927C6F42DBCD90</vt:lpwstr>
  </property>
  <property fmtid="{D5CDD505-2E9C-101B-9397-08002B2CF9AE}" pid="7" name="Pref_formatted">
    <vt:bool>true</vt:bool>
  </property>
  <property fmtid="{D5CDD505-2E9C-101B-9397-08002B2CF9AE}" pid="8" name="Pref_Date">
    <vt:lpwstr>24/05/2017, 23/05/2017, 22/05/2017, 03/04/2017, 03/04/2017, 30/03/2017, 30/03/2017, 06/03/2017, 11/01/2017, 06/01/2017</vt:lpwstr>
  </property>
  <property fmtid="{D5CDD505-2E9C-101B-9397-08002B2CF9AE}" pid="9" name="Pref_Time">
    <vt:lpwstr>11:00:03, 09:31:33, 16:38:22, 09:34:42, 09:22:28, 17:29:30, 16:16:23, 10:49:29, 09:25:10, 13:31:08</vt:lpwstr>
  </property>
  <property fmtid="{D5CDD505-2E9C-101B-9397-08002B2CF9AE}" pid="10" name="Pref_User">
    <vt:lpwstr>tvoc, mkop, ssex, mkop, ssex, jhvi, ssex, mkop, amett, amett</vt:lpwstr>
  </property>
  <property fmtid="{D5CDD505-2E9C-101B-9397-08002B2CF9AE}" pid="11" name="Pref_FileName">
    <vt:lpwstr>COR-2017-00044-00-01-AC-ORI.docx, COR-2017-00044-00-00-AC-TRA-EN-CRR.docx, COR-2017-00044-00-00-AC-CRR-EN.docx, COR-2017-00044-00-01-PAC-TRA-EN-CRR.docx, COR-2017-00044-00-01-PAC-CRR-EN.docx, COR-2017-00044-00-00-PAC-TRA-EN-CRR.docx, COR-2017-00044-00-00-</vt:lpwstr>
  </property>
  <property fmtid="{D5CDD505-2E9C-101B-9397-08002B2CF9AE}" pid="12" name="_dlc_DocIdItemGuid">
    <vt:lpwstr>253585ba-5bce-41c1-bc3f-9390f85507e9</vt:lpwstr>
  </property>
  <property fmtid="{D5CDD505-2E9C-101B-9397-08002B2CF9AE}" pid="13" name="MeetingNumber">
    <vt:i4>123</vt:i4>
  </property>
  <property fmtid="{D5CDD505-2E9C-101B-9397-08002B2CF9AE}" pid="14" name="DocumentType_0">
    <vt:lpwstr>AC|a4cc1d15-fb08-4679-ad46-e4e0cba5fe92</vt:lpwstr>
  </property>
  <property fmtid="{D5CDD505-2E9C-101B-9397-08002B2CF9AE}" pid="15" name="AvailableTranslations">
    <vt:lpwstr>41;#ET|ff6c3f4c-b02c-4c3c-ab07-2c37995a7a0a;#38;#ES|e7a6b05b-ae16-40c8-add9-68b64b03aeba;#23;#NL|55c6556c-b4f4-441d-9acf-c498d4f838bd;#36;#FI|87606a43-d45f-42d6-b8c9-e1a3457db5b7;#4;#FR|d2afafd3-4c81-4f60-8f52-ee33f2f54ff3;#39;#BG|1a1b3951-7821-4e6a-85f5-5673fc08bd2c;#26;#CS|72f9705b-0217-4fd3-bea2-cbc7ed80e26e;#40;#HR|2f555653-ed1a-4fe6-8362-9082d95989e5;#37;#SK|46d9fce0-ef79-4f71-b89b-cd6aa82426b8;#18;#PL|1e03da61-4678-4e07-b136-b5024ca9197b;#31;#SL|98a412ae-eb01-49e9-ae3d-585a81724cfc;#29;#HU|6b229040-c589-4408-b4c1-4285663d20a8;#30;#DA|5d49c027-8956-412b-aa16-e85a0f96ad0e;#34;#PT|50ccc04a-eadd-42ae-a0cb-acaf45f812ba;#12;#EN|f2175f21-25d7-44a3-96da-d6a61b075e1b;#7;#IT|0774613c-01ed-4e5d-a25d-11d2388de825;#15;#SV|c2ed69e7-a339-43d7-8f22-d93680a92aa0;#25;#LV|46f7e311-5d9f-4663-b433-18aeccb7ace7;#21;#DE|f6b31e5a-26fa-4935-b661-318e46daf27e;#28;#LT|a7ff5ce7-6123-4f68-865a-a57c31810414;#32;#RO|feb747a2-64cd-4299-af12-4833ddc30497;#24;#EL|6d4f4d51-af9b-4650-94b4-4276bee85c91;#35;#MT|7df99101-6854-4a26-b53a-b88c0da02c26</vt:lpwstr>
  </property>
  <property fmtid="{D5CDD505-2E9C-101B-9397-08002B2CF9AE}" pid="16" name="DossierName_0">
    <vt:lpwstr>SEDEC-VI|f06eb240-9dba-4299-813c-b6d38e9a15c0</vt:lpwstr>
  </property>
  <property fmtid="{D5CDD505-2E9C-101B-9397-08002B2CF9AE}" pid="17" name="DocumentSource_0">
    <vt:lpwstr>CoR|cb2d75ef-4a7d-4393-b797-49ed6298a5ea</vt:lpwstr>
  </property>
  <property fmtid="{D5CDD505-2E9C-101B-9397-08002B2CF9AE}" pid="18" name="FicheYear">
    <vt:i4>2017</vt:i4>
  </property>
  <property fmtid="{D5CDD505-2E9C-101B-9397-08002B2CF9AE}" pid="19" name="DocumentNumber">
    <vt:i4>44</vt:i4>
  </property>
  <property fmtid="{D5CDD505-2E9C-101B-9397-08002B2CF9AE}" pid="20" name="DocumentVersion">
    <vt:i4>1</vt:i4>
  </property>
  <property fmtid="{D5CDD505-2E9C-101B-9397-08002B2CF9AE}" pid="21" name="DossierNumber">
    <vt:i4>22</vt:i4>
  </property>
  <property fmtid="{D5CDD505-2E9C-101B-9397-08002B2CF9AE}" pid="22" name="DocumentStatus">
    <vt:lpwstr>2;#TRA|150d2a88-1431-44e6-a8ca-0bb753ab8672</vt:lpwstr>
  </property>
  <property fmtid="{D5CDD505-2E9C-101B-9397-08002B2CF9AE}" pid="23" name="DossierName">
    <vt:lpwstr>19;#SEDEC-VI|f06eb240-9dba-4299-813c-b6d38e9a15c0</vt:lpwstr>
  </property>
  <property fmtid="{D5CDD505-2E9C-101B-9397-08002B2CF9AE}" pid="24" name="RequestingService">
    <vt:lpwstr>Commission SEDEC</vt:lpwstr>
  </property>
  <property fmtid="{D5CDD505-2E9C-101B-9397-08002B2CF9AE}" pid="25" name="Confidentiality">
    <vt:lpwstr>10;#Unrestricted|826e22d7-d029-4ec0-a450-0c28ff673572</vt:lpwstr>
  </property>
  <property fmtid="{D5CDD505-2E9C-101B-9397-08002B2CF9AE}" pid="26" name="Confidentiality_0">
    <vt:lpwstr>Unrestricted|826e22d7-d029-4ec0-a450-0c28ff673572</vt:lpwstr>
  </property>
  <property fmtid="{D5CDD505-2E9C-101B-9397-08002B2CF9AE}" pid="27" name="MeetingName_0">
    <vt:lpwstr/>
  </property>
  <property fmtid="{D5CDD505-2E9C-101B-9397-08002B2CF9AE}" pid="28" name="OriginalLanguage">
    <vt:lpwstr>12;#EN|f2175f21-25d7-44a3-96da-d6a61b075e1b</vt:lpwstr>
  </property>
  <property fmtid="{D5CDD505-2E9C-101B-9397-08002B2CF9AE}" pid="29" name="MeetingName">
    <vt:lpwstr/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41;#ET|ff6c3f4c-b02c-4c3c-ab07-2c37995a7a0a;#39;#BG|1a1b3951-7821-4e6a-85f5-5673fc08bd2c;#38;#ES|e7a6b05b-ae16-40c8-add9-68b64b03aeba;#37;#SK|46d9fce0-ef79-4f71-b89b-cd6aa82426b8;#36;#FI|87606a43-d45f-42d6-b8c9-e1a3457db5b7;#35;#MT|7df99101-6854-4a26-b53a-b88c0da02c26;#32;#RO|feb747a2-64cd-4299-af12-4833ddc30497;#30;#DA|5d49c027-8956-412b-aa16-e85a0f96ad0e;#29;#HU|6b229040-c589-4408-b4c1-4285663d20a8;#28;#LT|a7ff5ce7-6123-4f68-865a-a57c31810414;#26;#CS|72f9705b-0217-4fd3-bea2-cbc7ed80e26e;#24;#EL|6d4f4d51-af9b-4650-94b4-4276bee85c91;#23;#NL|55c6556c-b4f4-441d-9acf-c498d4f838bd;#21;#DE|f6b31e5a-26fa-4935-b661-318e46daf27e;#19;#SEDEC-VI|f06eb240-9dba-4299-813c-b6d38e9a15c0;#12;#EN|f2175f21-25d7-44a3-96da-d6a61b075e1b;#100;#AC|a4cc1d15-fb08-4679-ad46-e4e0cba5fe92;#10;#Unrestricted|826e22d7-d029-4ec0-a450-0c28ff673572;#7;#IT|0774613c-01ed-4e5d-a25d-11d2388de825;#6;#Final|ea5e6674-7b27-4bac-b091-73adbb394efe;#2;#TRA|150d2a88-1431-44e6-a8ca-0bb753ab8672;#1;#CoR|cb2d75ef-4a7d-4393-b797-49ed6298a5ea</vt:lpwstr>
  </property>
  <property fmtid="{D5CDD505-2E9C-101B-9397-08002B2CF9AE}" pid="33" name="AvailableTranslations_0">
    <vt:lpwstr>ET|ff6c3f4c-b02c-4c3c-ab07-2c37995a7a0a;ES|e7a6b05b-ae16-40c8-add9-68b64b03aeba;NL|55c6556c-b4f4-441d-9acf-c498d4f838bd;FI|87606a43-d45f-42d6-b8c9-e1a3457db5b7;BG|1a1b3951-7821-4e6a-85f5-5673fc08bd2c;CS|72f9705b-0217-4fd3-bea2-cbc7ed80e26e;SK|46d9fce0-ef79-4f71-b89b-cd6aa82426b8;HU|6b229040-c589-4408-b4c1-4285663d20a8;DA|5d49c027-8956-412b-aa16-e85a0f96ad0e;EN|f2175f21-25d7-44a3-96da-d6a61b075e1b;IT|0774613c-01ed-4e5d-a25d-11d2388de825;DE|f6b31e5a-26fa-4935-b661-318e46daf27e;LT|a7ff5ce7-6123-4f68-865a-a57c31810414;RO|feb747a2-64cd-4299-af12-4833ddc30497;EL|6d4f4d51-af9b-4650-94b4-4276bee85c91;MT|7df99101-6854-4a26-b53a-b88c0da02c26</vt:lpwstr>
  </property>
  <property fmtid="{D5CDD505-2E9C-101B-9397-08002B2CF9AE}" pid="34" name="VersionStatus">
    <vt:lpwstr>6;#Final|ea5e6674-7b27-4bac-b091-73adbb394efe</vt:lpwstr>
  </property>
  <property fmtid="{D5CDD505-2E9C-101B-9397-08002B2CF9AE}" pid="35" name="Rapporteur">
    <vt:lpwstr>BUDDE</vt:lpwstr>
  </property>
  <property fmtid="{D5CDD505-2E9C-101B-9397-08002B2CF9AE}" pid="36" name="VersionStatus_0">
    <vt:lpwstr>Final|ea5e6674-7b27-4bac-b091-73adbb394efe</vt:lpwstr>
  </property>
  <property fmtid="{D5CDD505-2E9C-101B-9397-08002B2CF9AE}" pid="37" name="FicheNumber">
    <vt:i4>6063</vt:i4>
  </property>
  <property fmtid="{D5CDD505-2E9C-101B-9397-08002B2CF9AE}" pid="38" name="DocumentYear">
    <vt:i4>2017</vt:i4>
  </property>
  <property fmtid="{D5CDD505-2E9C-101B-9397-08002B2CF9AE}" pid="39" name="DocumentSource">
    <vt:lpwstr>1;#CoR|cb2d75ef-4a7d-4393-b797-49ed6298a5ea</vt:lpwstr>
  </property>
  <property fmtid="{D5CDD505-2E9C-101B-9397-08002B2CF9AE}" pid="40" name="DocumentType">
    <vt:lpwstr>100;#AC|a4cc1d15-fb08-4679-ad46-e4e0cba5fe92</vt:lpwstr>
  </property>
  <property fmtid="{D5CDD505-2E9C-101B-9397-08002B2CF9AE}" pid="41" name="DocumentPart">
    <vt:i4>0</vt:i4>
  </property>
  <property fmtid="{D5CDD505-2E9C-101B-9397-08002B2CF9AE}" pid="42" name="DocumentLanguage">
    <vt:lpwstr>18;#PL|1e03da61-4678-4e07-b136-b5024ca9197b</vt:lpwstr>
  </property>
  <property fmtid="{D5CDD505-2E9C-101B-9397-08002B2CF9AE}" pid="43" name="DocumentLanguage_0">
    <vt:lpwstr>DE|f6b31e5a-26fa-4935-b661-318e46daf27e</vt:lpwstr>
  </property>
  <property fmtid="{D5CDD505-2E9C-101B-9397-08002B2CF9AE}" pid="44" name="ProductionDate">
    <vt:filetime>2017-03-13T12:00:00Z</vt:filetime>
  </property>
  <property fmtid="{D5CDD505-2E9C-101B-9397-08002B2CF9AE}" pid="45" name="AdoptionDate">
    <vt:filetime>2017-05-11T12:00:00Z</vt:filetime>
  </property>
</Properties>
</file>